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FA" w:rsidRPr="00A718E5" w:rsidRDefault="00A718E5">
      <w:pPr>
        <w:rPr>
          <w:b/>
        </w:rPr>
      </w:pPr>
      <w:r w:rsidRPr="00A718E5">
        <w:rPr>
          <w:b/>
        </w:rPr>
        <w:t xml:space="preserve"> 206 SUPER STOCK</w:t>
      </w:r>
      <w:r>
        <w:rPr>
          <w:b/>
        </w:rPr>
        <w:t xml:space="preserve"> RULES</w:t>
      </w:r>
    </w:p>
    <w:p w:rsidR="00E446B1" w:rsidRDefault="00037790">
      <w:r>
        <w:t>The spirit and intent of this</w:t>
      </w:r>
      <w:r w:rsidR="00E446B1">
        <w:t xml:space="preserve"> engine package is designed to make use of LO 206 cc Briggs engines that have become tired, worn or in </w:t>
      </w:r>
      <w:r w:rsidR="00610FD7">
        <w:t>any other way</w:t>
      </w:r>
      <w:r w:rsidR="00E446B1">
        <w:t xml:space="preserve"> un-useable for the LO 206 class. </w:t>
      </w:r>
    </w:p>
    <w:p w:rsidR="001134BE" w:rsidRDefault="00452E02" w:rsidP="001134BE">
      <w:pPr>
        <w:pStyle w:val="NoSpacing"/>
      </w:pPr>
      <w:r>
        <w:t xml:space="preserve">It is also an inexpensive way to go faster than a </w:t>
      </w:r>
      <w:r w:rsidR="001134BE">
        <w:t xml:space="preserve">stock </w:t>
      </w:r>
      <w:r>
        <w:t xml:space="preserve">LO 206. </w:t>
      </w:r>
    </w:p>
    <w:p w:rsidR="00452E02" w:rsidRDefault="00452E02" w:rsidP="001134BE">
      <w:pPr>
        <w:pStyle w:val="NoSpacing"/>
      </w:pPr>
      <w:r>
        <w:t>It make</w:t>
      </w:r>
      <w:r w:rsidR="002D5234">
        <w:t>s</w:t>
      </w:r>
      <w:r>
        <w:t xml:space="preserve"> about 40% more Horsepower than a senior LO 206.</w:t>
      </w:r>
    </w:p>
    <w:p w:rsidR="001134BE" w:rsidRDefault="001134BE" w:rsidP="001134BE">
      <w:pPr>
        <w:pStyle w:val="NoSpacing"/>
      </w:pPr>
    </w:p>
    <w:p w:rsidR="00E446B1" w:rsidRDefault="00E446B1">
      <w:r>
        <w:t>T</w:t>
      </w:r>
      <w:r w:rsidR="00EA5088">
        <w:t>hese changes will allow you to i</w:t>
      </w:r>
      <w:r>
        <w:t xml:space="preserve">nexpensively </w:t>
      </w:r>
      <w:r w:rsidR="00EA5088">
        <w:t>convert a tired engine that you already have sitting on the shelf into an engine with more power and give you several more years of use.</w:t>
      </w:r>
    </w:p>
    <w:p w:rsidR="00E446B1" w:rsidRDefault="00E446B1" w:rsidP="00757FBB">
      <w:pPr>
        <w:pStyle w:val="NoSpacing"/>
      </w:pPr>
      <w:r>
        <w:t>Examples of salvageable engines would include eng</w:t>
      </w:r>
      <w:r w:rsidR="00610FD7">
        <w:t>ines that were ru</w:t>
      </w:r>
      <w:r>
        <w:t xml:space="preserve">n without oil or engines that have other worn internal parts. </w:t>
      </w:r>
      <w:r w:rsidR="007C6213">
        <w:t xml:space="preserve"> Engines that have</w:t>
      </w:r>
      <w:r>
        <w:t xml:space="preserve"> worn piston or rings make excellent candidates for these modifications.</w:t>
      </w:r>
    </w:p>
    <w:p w:rsidR="00757FBB" w:rsidRDefault="00EA5088" w:rsidP="00757FBB">
      <w:pPr>
        <w:pStyle w:val="NoSpacing"/>
      </w:pPr>
      <w:r>
        <w:t>The only changes you will be allowed to make</w:t>
      </w:r>
      <w:r w:rsidR="00037790">
        <w:t xml:space="preserve"> to the block</w:t>
      </w:r>
      <w:r>
        <w:t xml:space="preserve"> will be to hone the </w:t>
      </w:r>
      <w:r w:rsidR="00757FBB">
        <w:t>cylinder slightly</w:t>
      </w:r>
      <w:r>
        <w:t xml:space="preserve"> and</w:t>
      </w:r>
      <w:r w:rsidR="00452E02">
        <w:t xml:space="preserve"> use a standard bore, a .005”,</w:t>
      </w:r>
      <w:r>
        <w:t xml:space="preserve"> a .010”</w:t>
      </w:r>
      <w:r w:rsidR="00452E02">
        <w:t xml:space="preserve"> or a.020” </w:t>
      </w:r>
      <w:r>
        <w:t>oversize specified</w:t>
      </w:r>
      <w:r w:rsidR="002304D1">
        <w:t xml:space="preserve"> domed piston.  If you can’t hone the cylinder</w:t>
      </w:r>
      <w:r>
        <w:t xml:space="preserve"> yourself there are lots of kart shops or automotive machine shops that can do this for you inexpensively.  </w:t>
      </w:r>
    </w:p>
    <w:p w:rsidR="00452E02" w:rsidRDefault="00452E02" w:rsidP="00757FBB">
      <w:pPr>
        <w:pStyle w:val="NoSpacing"/>
      </w:pPr>
      <w:r>
        <w:t>Faster motors will gladly hone your worn cylinder as well.</w:t>
      </w:r>
    </w:p>
    <w:p w:rsidR="00757FBB" w:rsidRDefault="00757FBB" w:rsidP="00757FBB">
      <w:pPr>
        <w:pStyle w:val="NoSpacing"/>
      </w:pPr>
    </w:p>
    <w:p w:rsidR="00EA5088" w:rsidRDefault="00757FBB" w:rsidP="00757FBB">
      <w:pPr>
        <w:pStyle w:val="NoSpacing"/>
      </w:pPr>
      <w:r>
        <w:t>All parts are to be original equipment Briggs &amp; Stratton parts unless otherwise specifically noted.</w:t>
      </w:r>
    </w:p>
    <w:p w:rsidR="00757FBB" w:rsidRDefault="00757FBB" w:rsidP="00757FBB">
      <w:pPr>
        <w:pStyle w:val="NoSpacing"/>
      </w:pPr>
    </w:p>
    <w:p w:rsidR="00610FD7" w:rsidRPr="007C6213" w:rsidRDefault="003F7670">
      <w:pPr>
        <w:rPr>
          <w:color w:val="FF0000"/>
        </w:rPr>
      </w:pPr>
      <w:r>
        <w:rPr>
          <w:color w:val="FF0000"/>
        </w:rPr>
        <w:t>YOU A</w:t>
      </w:r>
      <w:r w:rsidR="008A381F">
        <w:rPr>
          <w:color w:val="FF0000"/>
        </w:rPr>
        <w:t xml:space="preserve">RE </w:t>
      </w:r>
      <w:r>
        <w:rPr>
          <w:color w:val="FF0000"/>
        </w:rPr>
        <w:t xml:space="preserve">ALLOWED TO HONE THE </w:t>
      </w:r>
      <w:r w:rsidR="008A381F">
        <w:rPr>
          <w:color w:val="FF0000"/>
        </w:rPr>
        <w:t xml:space="preserve">BORE AREA OF THE </w:t>
      </w:r>
      <w:r>
        <w:rPr>
          <w:color w:val="FF0000"/>
        </w:rPr>
        <w:t>CYLINDER TO FIT A NEW APPROVED DOMED PISTON.   YOU ARE NOT</w:t>
      </w:r>
      <w:r w:rsidR="00610FD7" w:rsidRPr="007C6213">
        <w:rPr>
          <w:color w:val="FF0000"/>
        </w:rPr>
        <w:t xml:space="preserve"> ALLOWED </w:t>
      </w:r>
      <w:r w:rsidR="00037790" w:rsidRPr="007C6213">
        <w:rPr>
          <w:color w:val="FF0000"/>
        </w:rPr>
        <w:t>TO MACHINE THE CYLINDER BLOCK</w:t>
      </w:r>
      <w:r w:rsidR="008A381F">
        <w:rPr>
          <w:color w:val="FF0000"/>
        </w:rPr>
        <w:t xml:space="preserve"> IN ANY OTHER WAY! YOU ARE NOT ALLOOWED TO MACHINE THE </w:t>
      </w:r>
      <w:r w:rsidR="00610FD7" w:rsidRPr="007C6213">
        <w:rPr>
          <w:color w:val="FF0000"/>
        </w:rPr>
        <w:t xml:space="preserve">CYLINDER HEAD, CARB, FLYWHEEL, OR ANY OTHER PART OF THE </w:t>
      </w:r>
      <w:proofErr w:type="gramStart"/>
      <w:r w:rsidR="007C6213" w:rsidRPr="007C6213">
        <w:rPr>
          <w:color w:val="FF0000"/>
        </w:rPr>
        <w:t>ENGINE</w:t>
      </w:r>
      <w:r w:rsidR="00610FD7" w:rsidRPr="007C6213">
        <w:rPr>
          <w:color w:val="FF0000"/>
        </w:rPr>
        <w:t xml:space="preserve"> .</w:t>
      </w:r>
      <w:proofErr w:type="gramEnd"/>
      <w:r w:rsidR="00452E02">
        <w:rPr>
          <w:color w:val="FF0000"/>
        </w:rPr>
        <w:t xml:space="preserve"> </w:t>
      </w:r>
    </w:p>
    <w:p w:rsidR="00610FD7" w:rsidRDefault="00610FD7">
      <w:pPr>
        <w:rPr>
          <w:b/>
          <w:sz w:val="32"/>
          <w:szCs w:val="32"/>
        </w:rPr>
      </w:pPr>
      <w:r w:rsidRPr="007C6213">
        <w:rPr>
          <w:b/>
          <w:color w:val="FF0000"/>
          <w:sz w:val="32"/>
          <w:szCs w:val="32"/>
        </w:rPr>
        <w:t>IF IT DOESN’T SPECIFICALLY SAY YOU CAN DO IT THEN YOU CAN’T</w:t>
      </w:r>
      <w:r>
        <w:rPr>
          <w:b/>
          <w:sz w:val="32"/>
          <w:szCs w:val="32"/>
        </w:rPr>
        <w:t>.</w:t>
      </w:r>
    </w:p>
    <w:p w:rsidR="0060151C" w:rsidRPr="0060151C" w:rsidRDefault="0060151C">
      <w:r>
        <w:rPr>
          <w:b/>
          <w:sz w:val="32"/>
          <w:szCs w:val="32"/>
        </w:rPr>
        <w:t xml:space="preserve">Starting </w:t>
      </w:r>
      <w:r>
        <w:t xml:space="preserve">Must be pull start. Must use the OEM Briggs recoil starter!! </w:t>
      </w:r>
      <w:r w:rsidR="00FA66A2">
        <w:t xml:space="preserve"> </w:t>
      </w:r>
      <w:r>
        <w:t>No electric starters Allowed!!</w:t>
      </w:r>
    </w:p>
    <w:p w:rsidR="00FF34F2" w:rsidRPr="00363A9D" w:rsidRDefault="00FF34F2" w:rsidP="00363A9D">
      <w:pPr>
        <w:pStyle w:val="NoSpacing"/>
        <w:rPr>
          <w:b/>
          <w:sz w:val="32"/>
          <w:szCs w:val="32"/>
        </w:rPr>
      </w:pPr>
      <w:r w:rsidRPr="00363A9D">
        <w:rPr>
          <w:b/>
          <w:sz w:val="32"/>
          <w:szCs w:val="32"/>
        </w:rPr>
        <w:t>Block</w:t>
      </w:r>
    </w:p>
    <w:p w:rsidR="009A2B75" w:rsidRDefault="001003D4" w:rsidP="00363A9D">
      <w:pPr>
        <w:pStyle w:val="NoSpacing"/>
      </w:pPr>
      <w:r>
        <w:t>LO 206</w:t>
      </w:r>
      <w:r w:rsidR="00AB7E2D">
        <w:t xml:space="preserve"> blocks are the only block permitted. </w:t>
      </w:r>
      <w:r w:rsidR="009A2B75">
        <w:t>They can be identified by the appropriate numbering on the front of the block adjacent to the drain plug. The crankcase cover dowel pins must also have been drilled for the seals.</w:t>
      </w:r>
    </w:p>
    <w:p w:rsidR="001A2997" w:rsidRPr="001A2997" w:rsidRDefault="009A2B75" w:rsidP="00363A9D">
      <w:pPr>
        <w:pStyle w:val="NoSpacing"/>
      </w:pPr>
      <w:r>
        <w:t xml:space="preserve"> </w:t>
      </w:r>
      <w:r w:rsidR="001003D4">
        <w:t xml:space="preserve">Decking of the block is not permitted and the factory machining marks must be present on the deck surface. </w:t>
      </w:r>
      <w:proofErr w:type="gramStart"/>
      <w:r w:rsidR="00FF34F2" w:rsidRPr="00FF34F2">
        <w:t xml:space="preserve">Must </w:t>
      </w:r>
      <w:r w:rsidR="00FF34F2">
        <w:t>be part number 555705 or equivalent.</w:t>
      </w:r>
      <w:proofErr w:type="gramEnd"/>
      <w:r w:rsidR="00FF34F2">
        <w:t xml:space="preserve"> </w:t>
      </w:r>
      <w:r w:rsidR="001003D4">
        <w:t xml:space="preserve"> No </w:t>
      </w:r>
      <w:proofErr w:type="spellStart"/>
      <w:r w:rsidR="001003D4">
        <w:t>Intek</w:t>
      </w:r>
      <w:proofErr w:type="spellEnd"/>
      <w:r w:rsidR="001003D4">
        <w:t xml:space="preserve"> blocks allowed. </w:t>
      </w:r>
      <w:proofErr w:type="gramStart"/>
      <w:r w:rsidR="00EB2AA3">
        <w:t>Absolutely no w</w:t>
      </w:r>
      <w:r w:rsidR="001003D4">
        <w:t>elding of the block</w:t>
      </w:r>
      <w:r w:rsidR="00EB2AA3">
        <w:t>.</w:t>
      </w:r>
      <w:proofErr w:type="gramEnd"/>
      <w:r w:rsidR="00EB2AA3">
        <w:t xml:space="preserve">  If you need to repair a hole in the block from a broken rod you must use Epoxy. </w:t>
      </w:r>
      <w:r w:rsidR="002D6DFD">
        <w:t>No welding of</w:t>
      </w:r>
      <w:r w:rsidR="001003D4">
        <w:t xml:space="preserve"> the </w:t>
      </w:r>
      <w:r w:rsidR="001003D4" w:rsidRPr="001A2997">
        <w:t>internal or external cylinder area is allowed. Replacing the cylinder sleeve is not legal. The cam bearing</w:t>
      </w:r>
      <w:r w:rsidR="008000C1">
        <w:t>s</w:t>
      </w:r>
      <w:r w:rsidR="001003D4" w:rsidRPr="001A2997">
        <w:t xml:space="preserve"> must remain original. No other bearing design is legal. Welding anywhere inside the block is illegal. The crankshaft bearing pocket must remain in factory condition. No </w:t>
      </w:r>
      <w:r w:rsidR="001A2997" w:rsidRPr="001A2997">
        <w:t xml:space="preserve">Modification of the bearing pocket is allowed. </w:t>
      </w:r>
    </w:p>
    <w:p w:rsidR="001A2997" w:rsidRPr="001A2997" w:rsidRDefault="001A2997" w:rsidP="00363A9D">
      <w:pPr>
        <w:pStyle w:val="NoSpacing"/>
      </w:pPr>
      <w:r w:rsidRPr="001A2997">
        <w:t>The oil return hole between the lifter bo</w:t>
      </w:r>
      <w:r w:rsidR="002D6DFD">
        <w:t xml:space="preserve">res must not be larger than .2055” </w:t>
      </w:r>
    </w:p>
    <w:p w:rsidR="00FF34F2" w:rsidRDefault="001A2997" w:rsidP="00363A9D">
      <w:pPr>
        <w:pStyle w:val="NoSpacing"/>
        <w:rPr>
          <w:color w:val="FF0000"/>
        </w:rPr>
      </w:pPr>
      <w:r w:rsidRPr="001A2997">
        <w:t xml:space="preserve">Any bolt hole may be repaired with a </w:t>
      </w:r>
      <w:proofErr w:type="spellStart"/>
      <w:r w:rsidRPr="001A2997">
        <w:t>helicoil</w:t>
      </w:r>
      <w:proofErr w:type="spellEnd"/>
      <w:r w:rsidRPr="001A2997">
        <w:t xml:space="preserve"> </w:t>
      </w:r>
      <w:r w:rsidR="00B532ED">
        <w:t>of original size</w:t>
      </w:r>
      <w:r w:rsidRPr="001A2997">
        <w:t>. The repair must not create a performance advantage</w:t>
      </w:r>
      <w:r>
        <w:t xml:space="preserve">.  Holes for the air shield may use the next </w:t>
      </w:r>
      <w:r w:rsidRPr="00AB7E2D">
        <w:rPr>
          <w:color w:val="000000" w:themeColor="text1"/>
        </w:rPr>
        <w:t>size larger bolt.</w:t>
      </w:r>
    </w:p>
    <w:p w:rsidR="001A2997" w:rsidRDefault="001A2997" w:rsidP="00363A9D">
      <w:pPr>
        <w:pStyle w:val="NoSpacing"/>
      </w:pPr>
      <w:r w:rsidRPr="001A2997">
        <w:t xml:space="preserve">Holes for the blower housing </w:t>
      </w:r>
      <w:r>
        <w:t xml:space="preserve">may </w:t>
      </w:r>
      <w:r w:rsidR="00B532ED">
        <w:t xml:space="preserve">be repaired with a </w:t>
      </w:r>
      <w:proofErr w:type="spellStart"/>
      <w:r w:rsidR="00B532ED">
        <w:t>helicoil</w:t>
      </w:r>
      <w:proofErr w:type="spellEnd"/>
      <w:r w:rsidR="00B532ED">
        <w:t xml:space="preserve"> of the original size. </w:t>
      </w:r>
    </w:p>
    <w:p w:rsidR="00B532ED" w:rsidRDefault="00B532ED" w:rsidP="00363A9D">
      <w:pPr>
        <w:pStyle w:val="NoSpacing"/>
      </w:pPr>
      <w:r>
        <w:t>Magnetic drain plugs are legal. A cracked block in the drain plug area may be repaired by epoxy and by installing a short piece of ¼” pipe 1” long.</w:t>
      </w:r>
    </w:p>
    <w:p w:rsidR="00B532ED" w:rsidRDefault="00B532ED" w:rsidP="00363A9D">
      <w:pPr>
        <w:pStyle w:val="NoSpacing"/>
      </w:pPr>
      <w:r>
        <w:t>No block supports of any kind are allowed.</w:t>
      </w:r>
      <w:r w:rsidR="00AB7E2D">
        <w:t xml:space="preserve"> </w:t>
      </w:r>
    </w:p>
    <w:p w:rsidR="002D6DFD" w:rsidRDefault="002D6DFD" w:rsidP="00363A9D">
      <w:pPr>
        <w:pStyle w:val="NoSpacing"/>
      </w:pPr>
      <w:r>
        <w:t xml:space="preserve">The camshaft bearing must remain completely </w:t>
      </w:r>
      <w:proofErr w:type="gramStart"/>
      <w:r>
        <w:t>stock</w:t>
      </w:r>
      <w:proofErr w:type="gramEnd"/>
      <w:r>
        <w:t>.  No welding.</w:t>
      </w:r>
    </w:p>
    <w:p w:rsidR="002D6DFD" w:rsidRDefault="002D6DFD" w:rsidP="002D6DFD">
      <w:pPr>
        <w:pStyle w:val="NoSpacing"/>
      </w:pPr>
      <w:r>
        <w:t>No painting of the block or head allowed.</w:t>
      </w:r>
    </w:p>
    <w:p w:rsidR="000158D3" w:rsidRDefault="000158D3" w:rsidP="002D6DFD">
      <w:pPr>
        <w:pStyle w:val="NoSpacing"/>
      </w:pPr>
    </w:p>
    <w:p w:rsidR="008000C1" w:rsidRDefault="002D6DFD" w:rsidP="008000C1">
      <w:pPr>
        <w:pStyle w:val="NoSpacing"/>
      </w:pPr>
      <w:r w:rsidRPr="002D6DFD">
        <w:rPr>
          <w:b/>
          <w:sz w:val="32"/>
          <w:szCs w:val="32"/>
        </w:rPr>
        <w:t xml:space="preserve">Gaskets and </w:t>
      </w:r>
      <w:proofErr w:type="gramStart"/>
      <w:r w:rsidRPr="002D6DFD">
        <w:rPr>
          <w:b/>
          <w:sz w:val="32"/>
          <w:szCs w:val="32"/>
        </w:rPr>
        <w:t>Seals</w:t>
      </w:r>
      <w:r>
        <w:t xml:space="preserve">  All</w:t>
      </w:r>
      <w:proofErr w:type="gramEnd"/>
      <w:r>
        <w:t xml:space="preserve"> gaskets and seals must be OEM Briggs parts</w:t>
      </w:r>
      <w:r w:rsidR="008000C1">
        <w:t>.</w:t>
      </w:r>
    </w:p>
    <w:p w:rsidR="008000C1" w:rsidRDefault="008000C1" w:rsidP="008000C1">
      <w:pPr>
        <w:pStyle w:val="NoSpacing"/>
      </w:pPr>
      <w:r w:rsidRPr="008000C1">
        <w:t xml:space="preserve"> </w:t>
      </w:r>
      <w:r>
        <w:t>Briggs fire ring head gasket Part number 555698 is required.</w:t>
      </w:r>
      <w:r w:rsidR="000158D3">
        <w:t xml:space="preserve"> Minimum thickness is .042”</w:t>
      </w:r>
    </w:p>
    <w:p w:rsidR="00E56EF2" w:rsidRDefault="00E56EF2" w:rsidP="008000C1">
      <w:pPr>
        <w:pStyle w:val="NoSpacing"/>
      </w:pPr>
    </w:p>
    <w:p w:rsidR="00350B8D" w:rsidRPr="00350B8D" w:rsidRDefault="00E56EF2" w:rsidP="00E56EF2">
      <w:pPr>
        <w:spacing w:after="225" w:line="240" w:lineRule="auto"/>
        <w:textAlignment w:val="baseline"/>
        <w:outlineLvl w:val="1"/>
        <w:rPr>
          <w:rFonts w:ascii="Arial" w:eastAsia="Times New Roman" w:hAnsi="Arial" w:cs="Arial"/>
          <w:color w:val="333333"/>
        </w:rPr>
      </w:pPr>
      <w:r w:rsidRPr="00E56EF2">
        <w:rPr>
          <w:rFonts w:ascii="Arial" w:eastAsia="Times New Roman" w:hAnsi="Arial" w:cs="Arial"/>
          <w:b/>
          <w:color w:val="333333"/>
          <w:sz w:val="32"/>
          <w:szCs w:val="32"/>
        </w:rPr>
        <w:lastRenderedPageBreak/>
        <w:t xml:space="preserve">CAMSHAFT </w:t>
      </w:r>
      <w:r w:rsidR="00350B8D" w:rsidRPr="00350B8D">
        <w:rPr>
          <w:rFonts w:ascii="Arial" w:eastAsia="Times New Roman" w:hAnsi="Arial" w:cs="Arial"/>
          <w:color w:val="333333"/>
        </w:rPr>
        <w:t xml:space="preserve">The only legal camshaft is the AN Mod 1 </w:t>
      </w:r>
      <w:proofErr w:type="spellStart"/>
      <w:r w:rsidR="00350B8D" w:rsidRPr="00350B8D">
        <w:rPr>
          <w:rFonts w:ascii="Arial" w:eastAsia="Times New Roman" w:hAnsi="Arial" w:cs="Arial"/>
          <w:color w:val="333333"/>
        </w:rPr>
        <w:t>Dyno</w:t>
      </w:r>
      <w:proofErr w:type="spellEnd"/>
      <w:r w:rsidR="00350B8D" w:rsidRPr="00350B8D">
        <w:rPr>
          <w:rFonts w:ascii="Arial" w:eastAsia="Times New Roman" w:hAnsi="Arial" w:cs="Arial"/>
          <w:color w:val="333333"/>
        </w:rPr>
        <w:t xml:space="preserve"> cam</w:t>
      </w:r>
      <w:r w:rsidR="00350B8D">
        <w:rPr>
          <w:rFonts w:ascii="Arial" w:eastAsia="Times New Roman" w:hAnsi="Arial" w:cs="Arial"/>
          <w:color w:val="333333"/>
        </w:rPr>
        <w:t xml:space="preserve">. It must be the cast welded version with the compression </w:t>
      </w:r>
      <w:proofErr w:type="gramStart"/>
      <w:r w:rsidR="00350B8D">
        <w:rPr>
          <w:rFonts w:ascii="Arial" w:eastAsia="Times New Roman" w:hAnsi="Arial" w:cs="Arial"/>
          <w:color w:val="333333"/>
        </w:rPr>
        <w:t>release !!</w:t>
      </w:r>
      <w:proofErr w:type="gramEnd"/>
      <w:r w:rsidR="00350B8D">
        <w:rPr>
          <w:rFonts w:ascii="Arial" w:eastAsia="Times New Roman" w:hAnsi="Arial" w:cs="Arial"/>
          <w:color w:val="333333"/>
        </w:rPr>
        <w:t xml:space="preserve"> The Tool Steel Billet version is not </w:t>
      </w:r>
      <w:proofErr w:type="gramStart"/>
      <w:r w:rsidR="00350B8D">
        <w:rPr>
          <w:rFonts w:ascii="Arial" w:eastAsia="Times New Roman" w:hAnsi="Arial" w:cs="Arial"/>
          <w:color w:val="333333"/>
        </w:rPr>
        <w:t>allowed !!</w:t>
      </w:r>
      <w:proofErr w:type="gramEnd"/>
      <w:r w:rsidR="00350B8D">
        <w:rPr>
          <w:rFonts w:ascii="Arial" w:eastAsia="Times New Roman" w:hAnsi="Arial" w:cs="Arial"/>
          <w:color w:val="333333"/>
        </w:rPr>
        <w:t xml:space="preserve"> The lift must be between .307” and .311” when measured at the push rod. The lift at the valve retainer must be between .305” and .313” when measured at the valve retainer with negative .002 valve clearance.</w:t>
      </w:r>
    </w:p>
    <w:p w:rsidR="00E56EF2" w:rsidRPr="00E56EF2" w:rsidRDefault="00E56EF2" w:rsidP="00E56EF2">
      <w:pPr>
        <w:spacing w:after="225" w:line="240" w:lineRule="auto"/>
        <w:textAlignment w:val="baseline"/>
        <w:outlineLvl w:val="1"/>
        <w:rPr>
          <w:rFonts w:ascii="Arial" w:eastAsia="Times New Roman" w:hAnsi="Arial" w:cs="Arial"/>
          <w:color w:val="333333"/>
          <w:sz w:val="36"/>
          <w:szCs w:val="36"/>
        </w:rPr>
      </w:pPr>
      <w:r w:rsidRPr="00E56EF2">
        <w:rPr>
          <w:rFonts w:ascii="Arial" w:eastAsia="Times New Roman" w:hAnsi="Arial" w:cs="Arial"/>
          <w:color w:val="333333"/>
          <w:sz w:val="36"/>
          <w:szCs w:val="36"/>
        </w:rPr>
        <w:t>Profile</w:t>
      </w:r>
    </w:p>
    <w:tbl>
      <w:tblPr>
        <w:tblW w:w="0" w:type="auto"/>
        <w:tblCellSpacing w:w="15" w:type="dxa"/>
        <w:tblCellMar>
          <w:left w:w="0" w:type="dxa"/>
          <w:right w:w="0" w:type="dxa"/>
        </w:tblCellMar>
        <w:tblLook w:val="04A0"/>
      </w:tblPr>
      <w:tblGrid>
        <w:gridCol w:w="1679"/>
        <w:gridCol w:w="1815"/>
        <w:gridCol w:w="1830"/>
      </w:tblGrid>
      <w:tr w:rsidR="00E56EF2" w:rsidRPr="00E56EF2" w:rsidTr="00E56EF2">
        <w:trPr>
          <w:tblCellSpacing w:w="15" w:type="dxa"/>
        </w:trPr>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jc w:val="center"/>
              <w:rPr>
                <w:rFonts w:ascii="inherit" w:eastAsia="Times New Roman" w:hAnsi="inherit" w:cs="Helvetica"/>
                <w:b/>
                <w:bCs/>
                <w:color w:val="222222"/>
                <w:sz w:val="24"/>
                <w:szCs w:val="24"/>
              </w:rPr>
            </w:pP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jc w:val="center"/>
              <w:rPr>
                <w:rFonts w:ascii="inherit" w:eastAsia="Times New Roman" w:hAnsi="inherit" w:cs="Helvetica"/>
                <w:b/>
                <w:bCs/>
                <w:color w:val="222222"/>
                <w:sz w:val="24"/>
                <w:szCs w:val="24"/>
              </w:rPr>
            </w:pPr>
            <w:r w:rsidRPr="00E56EF2">
              <w:rPr>
                <w:rFonts w:ascii="inherit" w:eastAsia="Times New Roman" w:hAnsi="inherit" w:cs="Helvetica"/>
                <w:b/>
                <w:bCs/>
                <w:color w:val="222222"/>
                <w:sz w:val="24"/>
                <w:szCs w:val="24"/>
              </w:rPr>
              <w:t>Intake</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jc w:val="center"/>
              <w:rPr>
                <w:rFonts w:ascii="inherit" w:eastAsia="Times New Roman" w:hAnsi="inherit" w:cs="Helvetica"/>
                <w:b/>
                <w:bCs/>
                <w:color w:val="222222"/>
                <w:sz w:val="24"/>
                <w:szCs w:val="24"/>
              </w:rPr>
            </w:pPr>
            <w:r w:rsidRPr="00E56EF2">
              <w:rPr>
                <w:rFonts w:ascii="inherit" w:eastAsia="Times New Roman" w:hAnsi="inherit" w:cs="Helvetica"/>
                <w:b/>
                <w:bCs/>
                <w:color w:val="222222"/>
                <w:sz w:val="24"/>
                <w:szCs w:val="24"/>
              </w:rPr>
              <w:t>Exhaust</w:t>
            </w:r>
          </w:p>
        </w:tc>
      </w:tr>
      <w:tr w:rsidR="00E56EF2" w:rsidRPr="00E56EF2" w:rsidTr="00E56EF2">
        <w:trPr>
          <w:tblCellSpacing w:w="15" w:type="dxa"/>
        </w:trPr>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jc w:val="center"/>
              <w:rPr>
                <w:rFonts w:ascii="inherit" w:eastAsia="Times New Roman" w:hAnsi="inherit" w:cs="Helvetica"/>
                <w:b/>
                <w:bCs/>
                <w:color w:val="222222"/>
                <w:sz w:val="24"/>
                <w:szCs w:val="24"/>
              </w:rPr>
            </w:pPr>
            <w:r w:rsidRPr="00E56EF2">
              <w:rPr>
                <w:rFonts w:ascii="inherit" w:eastAsia="Times New Roman" w:hAnsi="inherit" w:cs="Helvetica"/>
                <w:b/>
                <w:bCs/>
                <w:color w:val="222222"/>
                <w:sz w:val="24"/>
                <w:szCs w:val="24"/>
              </w:rPr>
              <w:t>Open:</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57.15 BTDC</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96.10 BBDC</w:t>
            </w:r>
          </w:p>
        </w:tc>
      </w:tr>
      <w:tr w:rsidR="00E56EF2" w:rsidRPr="00E56EF2" w:rsidTr="00E56EF2">
        <w:trPr>
          <w:tblCellSpacing w:w="15" w:type="dxa"/>
        </w:trPr>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jc w:val="center"/>
              <w:rPr>
                <w:rFonts w:ascii="inherit" w:eastAsia="Times New Roman" w:hAnsi="inherit" w:cs="Helvetica"/>
                <w:b/>
                <w:bCs/>
                <w:color w:val="222222"/>
                <w:sz w:val="24"/>
                <w:szCs w:val="24"/>
              </w:rPr>
            </w:pPr>
            <w:r w:rsidRPr="00E56EF2">
              <w:rPr>
                <w:rFonts w:ascii="inherit" w:eastAsia="Times New Roman" w:hAnsi="inherit" w:cs="Helvetica"/>
                <w:b/>
                <w:bCs/>
                <w:color w:val="222222"/>
                <w:sz w:val="24"/>
                <w:szCs w:val="24"/>
              </w:rPr>
              <w:t>Close:</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95.30 ABDC</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57.95 ATDC</w:t>
            </w:r>
          </w:p>
        </w:tc>
      </w:tr>
      <w:tr w:rsidR="00E56EF2" w:rsidRPr="00E56EF2" w:rsidTr="00E56EF2">
        <w:trPr>
          <w:tblCellSpacing w:w="15" w:type="dxa"/>
        </w:trPr>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jc w:val="center"/>
              <w:rPr>
                <w:rFonts w:ascii="inherit" w:eastAsia="Times New Roman" w:hAnsi="inherit" w:cs="Helvetica"/>
                <w:b/>
                <w:bCs/>
                <w:color w:val="222222"/>
                <w:sz w:val="24"/>
                <w:szCs w:val="24"/>
              </w:rPr>
            </w:pPr>
            <w:r w:rsidRPr="00E56EF2">
              <w:rPr>
                <w:rFonts w:ascii="inherit" w:eastAsia="Times New Roman" w:hAnsi="inherit" w:cs="Helvetica"/>
                <w:b/>
                <w:bCs/>
                <w:color w:val="222222"/>
                <w:sz w:val="24"/>
                <w:szCs w:val="24"/>
              </w:rPr>
              <w:t>Lift:</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.309"</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.309"</w:t>
            </w:r>
          </w:p>
        </w:tc>
      </w:tr>
      <w:tr w:rsidR="00E56EF2" w:rsidRPr="00E56EF2" w:rsidTr="00E56EF2">
        <w:trPr>
          <w:tblCellSpacing w:w="15" w:type="dxa"/>
        </w:trPr>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jc w:val="center"/>
              <w:rPr>
                <w:rFonts w:ascii="inherit" w:eastAsia="Times New Roman" w:hAnsi="inherit" w:cs="Helvetica"/>
                <w:b/>
                <w:bCs/>
                <w:color w:val="222222"/>
                <w:sz w:val="24"/>
                <w:szCs w:val="24"/>
              </w:rPr>
            </w:pPr>
            <w:r w:rsidRPr="00E56EF2">
              <w:rPr>
                <w:rFonts w:ascii="inherit" w:eastAsia="Times New Roman" w:hAnsi="inherit" w:cs="Helvetica"/>
                <w:b/>
                <w:bCs/>
                <w:color w:val="222222"/>
                <w:sz w:val="24"/>
                <w:szCs w:val="24"/>
              </w:rPr>
              <w:t>C/L:</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108.0 ATDC</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108.0 BTDC</w:t>
            </w:r>
          </w:p>
        </w:tc>
      </w:tr>
      <w:tr w:rsidR="00E56EF2" w:rsidRPr="00E56EF2" w:rsidTr="00E56EF2">
        <w:trPr>
          <w:tblCellSpacing w:w="15" w:type="dxa"/>
        </w:trPr>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jc w:val="center"/>
              <w:rPr>
                <w:rFonts w:ascii="inherit" w:eastAsia="Times New Roman" w:hAnsi="inherit" w:cs="Helvetica"/>
                <w:b/>
                <w:bCs/>
                <w:color w:val="222222"/>
                <w:sz w:val="24"/>
                <w:szCs w:val="24"/>
              </w:rPr>
            </w:pPr>
            <w:r w:rsidRPr="00E56EF2">
              <w:rPr>
                <w:rFonts w:ascii="inherit" w:eastAsia="Times New Roman" w:hAnsi="inherit" w:cs="Helvetica"/>
                <w:b/>
                <w:bCs/>
                <w:color w:val="222222"/>
                <w:sz w:val="24"/>
                <w:szCs w:val="24"/>
              </w:rPr>
              <w:t>DUR @ 50:</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255.00 Deg</w:t>
            </w:r>
          </w:p>
        </w:tc>
        <w:tc>
          <w:tcPr>
            <w:tcW w:w="0" w:type="auto"/>
            <w:tcBorders>
              <w:top w:val="nil"/>
              <w:left w:val="nil"/>
              <w:bottom w:val="nil"/>
              <w:right w:val="nil"/>
            </w:tcBorders>
            <w:tcMar>
              <w:top w:w="105" w:type="dxa"/>
              <w:left w:w="225" w:type="dxa"/>
              <w:bottom w:w="105" w:type="dxa"/>
              <w:right w:w="225" w:type="dxa"/>
            </w:tcMar>
            <w:vAlign w:val="bottom"/>
            <w:hideMark/>
          </w:tcPr>
          <w:p w:rsidR="00E56EF2" w:rsidRPr="00E56EF2" w:rsidRDefault="00E56EF2" w:rsidP="00E56EF2">
            <w:pPr>
              <w:spacing w:after="0" w:line="240" w:lineRule="auto"/>
              <w:rPr>
                <w:rFonts w:ascii="Helvetica" w:eastAsia="Times New Roman" w:hAnsi="Helvetica" w:cs="Helvetica"/>
                <w:color w:val="222222"/>
                <w:sz w:val="24"/>
                <w:szCs w:val="24"/>
              </w:rPr>
            </w:pPr>
            <w:r w:rsidRPr="00E56EF2">
              <w:rPr>
                <w:rFonts w:ascii="Helvetica" w:eastAsia="Times New Roman" w:hAnsi="Helvetica" w:cs="Helvetica"/>
                <w:color w:val="222222"/>
                <w:sz w:val="24"/>
                <w:szCs w:val="24"/>
              </w:rPr>
              <w:t>259.95 Deg</w:t>
            </w:r>
          </w:p>
        </w:tc>
      </w:tr>
    </w:tbl>
    <w:p w:rsidR="008000C1" w:rsidRDefault="008000C1" w:rsidP="002D6DFD">
      <w:pPr>
        <w:pStyle w:val="NoSpacing"/>
        <w:rPr>
          <w:b/>
          <w:sz w:val="32"/>
          <w:szCs w:val="32"/>
        </w:rPr>
      </w:pPr>
    </w:p>
    <w:p w:rsidR="0060151C" w:rsidRDefault="0060151C" w:rsidP="002D6DFD">
      <w:pPr>
        <w:pStyle w:val="NoSpacing"/>
      </w:pPr>
      <w:r>
        <w:rPr>
          <w:b/>
          <w:sz w:val="32"/>
          <w:szCs w:val="32"/>
        </w:rPr>
        <w:t xml:space="preserve">Valves Springs </w:t>
      </w:r>
      <w:r>
        <w:t>Must be single coil available from Faster Motors.</w:t>
      </w:r>
    </w:p>
    <w:p w:rsidR="002D6DFD" w:rsidRDefault="002D6DFD" w:rsidP="002D6DFD">
      <w:pPr>
        <w:pStyle w:val="NoSpacing"/>
      </w:pPr>
      <w:r w:rsidRPr="007F56CB">
        <w:rPr>
          <w:b/>
          <w:sz w:val="32"/>
          <w:szCs w:val="32"/>
        </w:rPr>
        <w:t>Crankshaft</w:t>
      </w:r>
      <w:r w:rsidRPr="00363A9D">
        <w:rPr>
          <w:szCs w:val="32"/>
        </w:rPr>
        <w:t xml:space="preserve"> </w:t>
      </w:r>
      <w:r>
        <w:rPr>
          <w:szCs w:val="32"/>
        </w:rPr>
        <w:t>m</w:t>
      </w:r>
      <w:r w:rsidRPr="00363A9D">
        <w:rPr>
          <w:szCs w:val="32"/>
        </w:rPr>
        <w:t xml:space="preserve">ust be Briggs </w:t>
      </w:r>
      <w:r w:rsidR="00EB2AA3">
        <w:rPr>
          <w:szCs w:val="32"/>
        </w:rPr>
        <w:t>part number 557137</w:t>
      </w:r>
      <w:r w:rsidRPr="00363A9D">
        <w:rPr>
          <w:szCs w:val="32"/>
        </w:rPr>
        <w:t>.</w:t>
      </w:r>
      <w:r w:rsidRPr="00363A9D">
        <w:t xml:space="preserve">  It must be in completely original condition. No modifications allowed. It may not be lightened in any way. No grinding of any kind is allowed.  No </w:t>
      </w:r>
      <w:proofErr w:type="spellStart"/>
      <w:r w:rsidR="00941C7D">
        <w:t>clearancing</w:t>
      </w:r>
      <w:proofErr w:type="spellEnd"/>
      <w:r w:rsidRPr="00363A9D">
        <w:t xml:space="preserve"> of any of the bearing surfaces is allowed. </w:t>
      </w:r>
    </w:p>
    <w:p w:rsidR="00B141DA" w:rsidRDefault="002D6DFD" w:rsidP="002D6DFD">
      <w:pPr>
        <w:pStyle w:val="NoSpacing"/>
        <w:rPr>
          <w:color w:val="000000" w:themeColor="text1"/>
        </w:rPr>
      </w:pPr>
      <w:r w:rsidRPr="00363A9D">
        <w:t xml:space="preserve">The bearing surface </w:t>
      </w:r>
      <w:r>
        <w:t xml:space="preserve">of the crankshaft </w:t>
      </w:r>
      <w:r w:rsidRPr="00363A9D">
        <w:t>for the flywheel side bearing must be no smaller than</w:t>
      </w:r>
      <w:r w:rsidRPr="00B141DA">
        <w:rPr>
          <w:color w:val="000000" w:themeColor="text1"/>
        </w:rPr>
        <w:t xml:space="preserve"> .873”</w:t>
      </w:r>
    </w:p>
    <w:p w:rsidR="002D6DFD" w:rsidRPr="002D6DFD" w:rsidRDefault="00B141DA" w:rsidP="002D6DFD">
      <w:pPr>
        <w:pStyle w:val="NoSpacing"/>
        <w:rPr>
          <w:color w:val="FF0000"/>
        </w:rPr>
      </w:pPr>
      <w:r w:rsidRPr="00B141DA">
        <w:rPr>
          <w:color w:val="000000" w:themeColor="text1"/>
        </w:rPr>
        <w:t>T</w:t>
      </w:r>
      <w:r w:rsidR="002D6DFD" w:rsidRPr="00B141DA">
        <w:rPr>
          <w:color w:val="000000" w:themeColor="text1"/>
        </w:rPr>
        <w:t xml:space="preserve">he </w:t>
      </w:r>
      <w:r w:rsidR="002D6DFD" w:rsidRPr="00363A9D">
        <w:t>bearing surface</w:t>
      </w:r>
      <w:r w:rsidR="002D6DFD">
        <w:t xml:space="preserve"> of the crankshaft</w:t>
      </w:r>
      <w:r w:rsidR="002D6DFD" w:rsidRPr="00363A9D">
        <w:t xml:space="preserve"> for the PTO side must </w:t>
      </w:r>
      <w:r w:rsidR="002D6DFD">
        <w:t xml:space="preserve">not be any smaller than </w:t>
      </w:r>
      <w:r w:rsidR="002D6DFD" w:rsidRPr="00B141DA">
        <w:rPr>
          <w:color w:val="000000" w:themeColor="text1"/>
        </w:rPr>
        <w:t>1.061”</w:t>
      </w:r>
    </w:p>
    <w:p w:rsidR="002D6DFD" w:rsidRDefault="002D6DFD" w:rsidP="002D6DFD">
      <w:pPr>
        <w:pStyle w:val="NoSpacing"/>
        <w:rPr>
          <w:b/>
          <w:sz w:val="32"/>
          <w:szCs w:val="32"/>
        </w:rPr>
      </w:pPr>
      <w:r w:rsidRPr="00363A9D">
        <w:t xml:space="preserve">The </w:t>
      </w:r>
      <w:r w:rsidR="00EB2AA3">
        <w:t xml:space="preserve">crankshaft </w:t>
      </w:r>
      <w:r w:rsidRPr="00363A9D">
        <w:t xml:space="preserve">connecting rod journal must not be any smaller </w:t>
      </w:r>
      <w:r w:rsidRPr="00B141DA">
        <w:rPr>
          <w:color w:val="000000" w:themeColor="text1"/>
        </w:rPr>
        <w:t>than 1.096”</w:t>
      </w:r>
      <w:r w:rsidRPr="002D6DFD">
        <w:rPr>
          <w:b/>
          <w:sz w:val="32"/>
          <w:szCs w:val="32"/>
        </w:rPr>
        <w:t xml:space="preserve"> </w:t>
      </w:r>
    </w:p>
    <w:p w:rsidR="00941C7D" w:rsidRDefault="002D6DFD" w:rsidP="002D6DFD">
      <w:pPr>
        <w:pStyle w:val="NoSpacing"/>
      </w:pPr>
      <w:r w:rsidRPr="002D6DFD">
        <w:rPr>
          <w:b/>
          <w:sz w:val="32"/>
          <w:szCs w:val="32"/>
        </w:rPr>
        <w:t>Crank</w:t>
      </w:r>
      <w:r>
        <w:rPr>
          <w:b/>
          <w:sz w:val="32"/>
          <w:szCs w:val="32"/>
        </w:rPr>
        <w:t>shaft</w:t>
      </w:r>
      <w:r w:rsidRPr="002D6DFD">
        <w:rPr>
          <w:b/>
          <w:sz w:val="32"/>
          <w:szCs w:val="32"/>
        </w:rPr>
        <w:t xml:space="preserve"> Bearings</w:t>
      </w:r>
      <w:r>
        <w:rPr>
          <w:b/>
          <w:sz w:val="32"/>
          <w:szCs w:val="32"/>
        </w:rPr>
        <w:t xml:space="preserve"> </w:t>
      </w:r>
      <w:r>
        <w:t>m</w:t>
      </w:r>
      <w:r w:rsidRPr="00363A9D">
        <w:t>ust be OEM Briggs part number 798</w:t>
      </w:r>
      <w:r w:rsidR="00941C7D">
        <w:t xml:space="preserve">538 for the PTO side and 690824 </w:t>
      </w:r>
      <w:r w:rsidRPr="00363A9D">
        <w:t>for the flywheel side.</w:t>
      </w:r>
      <w:r w:rsidRPr="007F56CB">
        <w:t xml:space="preserve"> </w:t>
      </w:r>
      <w:r w:rsidR="00941C7D">
        <w:t>If the bearing numbers are superseded to a different number that will be acceptable.</w:t>
      </w:r>
    </w:p>
    <w:p w:rsidR="002D6DFD" w:rsidRPr="00363A9D" w:rsidRDefault="002D6DFD" w:rsidP="002D6DFD">
      <w:pPr>
        <w:pStyle w:val="NoSpacing"/>
      </w:pPr>
      <w:r w:rsidRPr="00363A9D">
        <w:t>No Aftermarket or ceramic bearings allowed.</w:t>
      </w:r>
    </w:p>
    <w:p w:rsidR="002D6DFD" w:rsidRPr="00B141DA" w:rsidRDefault="002D6DFD" w:rsidP="002D6DFD">
      <w:pPr>
        <w:pStyle w:val="NoSpacing"/>
        <w:rPr>
          <w:color w:val="000000" w:themeColor="text1"/>
        </w:rPr>
      </w:pPr>
      <w:r>
        <w:t xml:space="preserve">The OD of the PTO bearing must </w:t>
      </w:r>
      <w:r w:rsidRPr="00B141DA">
        <w:rPr>
          <w:color w:val="000000" w:themeColor="text1"/>
        </w:rPr>
        <w:t>be 2.046 Minimum</w:t>
      </w:r>
    </w:p>
    <w:p w:rsidR="002D6DFD" w:rsidRDefault="002D6DFD" w:rsidP="002D6DFD">
      <w:pPr>
        <w:pStyle w:val="NoSpacing"/>
        <w:rPr>
          <w:b/>
          <w:sz w:val="32"/>
          <w:szCs w:val="32"/>
        </w:rPr>
      </w:pPr>
      <w:r w:rsidRPr="00B141DA">
        <w:rPr>
          <w:color w:val="000000" w:themeColor="text1"/>
        </w:rPr>
        <w:t>The ID of the PTO bearing must be 1.063 Max</w:t>
      </w:r>
      <w:r w:rsidRPr="002D6DFD">
        <w:rPr>
          <w:b/>
          <w:sz w:val="32"/>
          <w:szCs w:val="32"/>
        </w:rPr>
        <w:t xml:space="preserve"> </w:t>
      </w:r>
    </w:p>
    <w:p w:rsidR="00EB2AA3" w:rsidRDefault="002D6DFD" w:rsidP="002D6DFD">
      <w:pPr>
        <w:pStyle w:val="NoSpacing"/>
      </w:pPr>
      <w:r w:rsidRPr="00363A9D">
        <w:rPr>
          <w:b/>
          <w:sz w:val="32"/>
          <w:szCs w:val="32"/>
        </w:rPr>
        <w:t>Crankshaft Keys</w:t>
      </w:r>
      <w:r>
        <w:t xml:space="preserve"> m</w:t>
      </w:r>
      <w:r w:rsidRPr="00363A9D">
        <w:t>ust be OEM Briggs part number 798972 for the PTO side and 690959 or the flywheel side.</w:t>
      </w:r>
      <w:r>
        <w:t xml:space="preserve"> </w:t>
      </w:r>
      <w:r w:rsidR="00EB2AA3">
        <w:t>See the LO 206 rule book for more specifications on the flywheel key.</w:t>
      </w:r>
    </w:p>
    <w:p w:rsidR="002D6DFD" w:rsidRPr="00363A9D" w:rsidRDefault="002D6DFD" w:rsidP="002D6DFD">
      <w:pPr>
        <w:pStyle w:val="NoSpacing"/>
      </w:pPr>
      <w:r>
        <w:t>No offset keys allowed.</w:t>
      </w:r>
      <w:r w:rsidR="00EB2AA3">
        <w:t xml:space="preserve"> The ignition timing must be between 26 and 30 degrees. It will be measured using a piston stop and a degree wheel.</w:t>
      </w:r>
    </w:p>
    <w:p w:rsidR="002D6DFD" w:rsidRPr="002D6DFD" w:rsidRDefault="002D6DFD" w:rsidP="002D6DFD">
      <w:pPr>
        <w:pStyle w:val="NoSpacing"/>
        <w:rPr>
          <w:szCs w:val="32"/>
        </w:rPr>
      </w:pPr>
      <w:r w:rsidRPr="00363A9D">
        <w:rPr>
          <w:b/>
          <w:sz w:val="32"/>
          <w:szCs w:val="32"/>
        </w:rPr>
        <w:t>Crankshaft gear</w:t>
      </w:r>
      <w:r>
        <w:rPr>
          <w:szCs w:val="32"/>
        </w:rPr>
        <w:t xml:space="preserve"> m</w:t>
      </w:r>
      <w:r w:rsidRPr="00363A9D">
        <w:rPr>
          <w:szCs w:val="32"/>
        </w:rPr>
        <w:t>ust be OEM Briggs part number 695087</w:t>
      </w:r>
    </w:p>
    <w:p w:rsidR="002D6DFD" w:rsidRDefault="002D6DFD" w:rsidP="002D6DFD">
      <w:pPr>
        <w:pStyle w:val="NoSpacing"/>
      </w:pPr>
      <w:r w:rsidRPr="00363A9D">
        <w:rPr>
          <w:b/>
          <w:sz w:val="32"/>
          <w:szCs w:val="32"/>
        </w:rPr>
        <w:t>Cylinder Bore</w:t>
      </w:r>
      <w:r>
        <w:t xml:space="preserve"> fo</w:t>
      </w:r>
      <w:r w:rsidR="00B74ADE">
        <w:t>r any engine cannot exceed 2.710</w:t>
      </w:r>
      <w:r w:rsidRPr="00395319">
        <w:t>”</w:t>
      </w:r>
      <w:r>
        <w:t xml:space="preserve"> at any point.</w:t>
      </w:r>
    </w:p>
    <w:p w:rsidR="002D6DFD" w:rsidRDefault="002D6DFD" w:rsidP="002D6DFD">
      <w:pPr>
        <w:pStyle w:val="NoSpacing"/>
      </w:pPr>
      <w:r>
        <w:t xml:space="preserve">The bore must have conventional hone marks and cannot have any circular grooving at any point in the cylinder.  No plating such as </w:t>
      </w:r>
      <w:proofErr w:type="spellStart"/>
      <w:r>
        <w:t>Nickosil</w:t>
      </w:r>
      <w:proofErr w:type="spellEnd"/>
      <w:r>
        <w:t xml:space="preserve"> or anti friction coatings of any kind will be allowed.</w:t>
      </w:r>
    </w:p>
    <w:p w:rsidR="002D6DFD" w:rsidRDefault="00B532ED" w:rsidP="00363A9D">
      <w:pPr>
        <w:pStyle w:val="NoSpacing"/>
      </w:pPr>
      <w:r w:rsidRPr="002D6DFD">
        <w:rPr>
          <w:b/>
          <w:sz w:val="32"/>
          <w:szCs w:val="32"/>
        </w:rPr>
        <w:t>Side cover</w:t>
      </w:r>
      <w:r w:rsidRPr="00B532ED">
        <w:t xml:space="preserve"> </w:t>
      </w:r>
    </w:p>
    <w:p w:rsidR="00B532ED" w:rsidRDefault="00B532ED" w:rsidP="00363A9D">
      <w:pPr>
        <w:pStyle w:val="NoSpacing"/>
      </w:pPr>
      <w:r w:rsidRPr="00B532ED">
        <w:t>The</w:t>
      </w:r>
      <w:r>
        <w:t xml:space="preserve"> </w:t>
      </w:r>
      <w:r w:rsidRPr="00B532ED">
        <w:t>stock side cover is required</w:t>
      </w:r>
      <w:r>
        <w:t>.</w:t>
      </w:r>
      <w:r w:rsidRPr="00B532ED">
        <w:t xml:space="preserve"> Part</w:t>
      </w:r>
      <w:r w:rsidR="00B74ADE">
        <w:t xml:space="preserve"> number 555706</w:t>
      </w:r>
      <w:r>
        <w:t xml:space="preserve"> is the only legal part.</w:t>
      </w:r>
    </w:p>
    <w:p w:rsidR="00B532ED" w:rsidRDefault="00B532ED" w:rsidP="00363A9D">
      <w:pPr>
        <w:pStyle w:val="NoSpacing"/>
      </w:pPr>
      <w:r>
        <w:t>No billet side covers are allowed.</w:t>
      </w:r>
      <w:r w:rsidR="005936B0">
        <w:t xml:space="preserve">  The crankshaft bearing and bearing pocket must remain stock.</w:t>
      </w:r>
      <w:r w:rsidR="002D6DFD">
        <w:t xml:space="preserve"> No welding or epoxy of the side cover is allowed</w:t>
      </w:r>
    </w:p>
    <w:p w:rsidR="002D6DFD" w:rsidRDefault="005936B0" w:rsidP="00363A9D">
      <w:pPr>
        <w:pStyle w:val="NoSpacing"/>
      </w:pPr>
      <w:r>
        <w:t>Mo machining or grinding of either the bearing or bearing pocket is allowed. The crankshaft</w:t>
      </w:r>
      <w:r w:rsidR="002D6DFD">
        <w:t xml:space="preserve"> ball </w:t>
      </w:r>
      <w:r>
        <w:t>bearing must be a press fit into the side cover.</w:t>
      </w:r>
      <w:r w:rsidR="002D6DFD">
        <w:t xml:space="preserve"> </w:t>
      </w:r>
    </w:p>
    <w:p w:rsidR="002D6DFD" w:rsidRDefault="002D6DFD" w:rsidP="002D6DFD">
      <w:pPr>
        <w:pStyle w:val="NoSpacing"/>
      </w:pPr>
      <w:r>
        <w:t>The oil fill caps must be original equipment. No aluminum oil fill caps allowed.</w:t>
      </w:r>
    </w:p>
    <w:p w:rsidR="002D6DFD" w:rsidRDefault="002D6DFD" w:rsidP="002D6DFD">
      <w:pPr>
        <w:pStyle w:val="NoSpacing"/>
      </w:pPr>
      <w:r w:rsidRPr="005936B0">
        <w:t>The cam bearing must remain stock</w:t>
      </w:r>
      <w:r>
        <w:t>. No welding of the side cover is allowed.</w:t>
      </w:r>
    </w:p>
    <w:p w:rsidR="002D6DFD" w:rsidRDefault="002D6DFD" w:rsidP="002D6DFD">
      <w:pPr>
        <w:pStyle w:val="NoSpacing"/>
      </w:pPr>
      <w:r>
        <w:t xml:space="preserve">Stripped bolt holes may be repaired with a </w:t>
      </w:r>
      <w:proofErr w:type="spellStart"/>
      <w:r>
        <w:t>helicoil</w:t>
      </w:r>
      <w:proofErr w:type="spellEnd"/>
      <w:r>
        <w:t xml:space="preserve"> of original size.</w:t>
      </w:r>
    </w:p>
    <w:p w:rsidR="002D6DFD" w:rsidRPr="00B141DA" w:rsidRDefault="002D6DFD" w:rsidP="00363A9D">
      <w:pPr>
        <w:pStyle w:val="NoSpacing"/>
        <w:rPr>
          <w:color w:val="000000" w:themeColor="text1"/>
        </w:rPr>
      </w:pPr>
      <w:r w:rsidRPr="002D6DFD">
        <w:rPr>
          <w:b/>
          <w:sz w:val="32"/>
          <w:szCs w:val="32"/>
        </w:rPr>
        <w:t>PTO bearing pocket</w:t>
      </w:r>
      <w:r>
        <w:t xml:space="preserve"> cannot be machined in any way and must not be larger </w:t>
      </w:r>
      <w:r w:rsidRPr="00B141DA">
        <w:rPr>
          <w:color w:val="000000" w:themeColor="text1"/>
        </w:rPr>
        <w:t xml:space="preserve">than 2.048” </w:t>
      </w:r>
    </w:p>
    <w:p w:rsidR="002D6DFD" w:rsidRPr="00B141DA" w:rsidRDefault="002D6DFD" w:rsidP="00363A9D">
      <w:pPr>
        <w:pStyle w:val="NoSpacing"/>
        <w:rPr>
          <w:color w:val="000000" w:themeColor="text1"/>
        </w:rPr>
      </w:pPr>
      <w:r w:rsidRPr="00B141DA">
        <w:rPr>
          <w:b/>
          <w:color w:val="000000" w:themeColor="text1"/>
          <w:sz w:val="32"/>
          <w:szCs w:val="32"/>
        </w:rPr>
        <w:t>Flywheel side</w:t>
      </w:r>
      <w:r w:rsidRPr="00B141DA">
        <w:rPr>
          <w:color w:val="000000" w:themeColor="text1"/>
        </w:rPr>
        <w:t xml:space="preserve"> bearing pocket cannot be machined in any way and must not be larger than 1.855”</w:t>
      </w:r>
    </w:p>
    <w:p w:rsidR="002D6DFD" w:rsidRPr="007F56CB" w:rsidRDefault="002D6DFD" w:rsidP="002D6DFD">
      <w:pPr>
        <w:pStyle w:val="NoSpacing"/>
        <w:rPr>
          <w:b/>
          <w:sz w:val="32"/>
          <w:szCs w:val="32"/>
        </w:rPr>
      </w:pPr>
      <w:r w:rsidRPr="007F56CB">
        <w:rPr>
          <w:b/>
          <w:sz w:val="32"/>
          <w:szCs w:val="32"/>
        </w:rPr>
        <w:lastRenderedPageBreak/>
        <w:t>Connecting Rod</w:t>
      </w:r>
      <w:r>
        <w:rPr>
          <w:b/>
          <w:sz w:val="32"/>
          <w:szCs w:val="32"/>
        </w:rPr>
        <w:t xml:space="preserve"> </w:t>
      </w:r>
      <w:r>
        <w:t>must be</w:t>
      </w:r>
      <w:r w:rsidRPr="00363A9D">
        <w:t xml:space="preserve"> the Briggs World</w:t>
      </w:r>
      <w:r w:rsidR="00B141DA">
        <w:t xml:space="preserve"> Formula rod part number 557117 or ARC 6249 rod.</w:t>
      </w:r>
    </w:p>
    <w:p w:rsidR="002D6DFD" w:rsidRPr="00B141DA" w:rsidRDefault="002D6DFD" w:rsidP="002D6DFD">
      <w:pPr>
        <w:pStyle w:val="NoSpacing"/>
        <w:rPr>
          <w:color w:val="000000" w:themeColor="text1"/>
        </w:rPr>
      </w:pPr>
      <w:r w:rsidRPr="00363A9D">
        <w:t xml:space="preserve">The length of the rod from the bottom of the wristpin hole to the top of the connecting rod hole is </w:t>
      </w:r>
      <w:r w:rsidRPr="00B141DA">
        <w:rPr>
          <w:color w:val="000000" w:themeColor="text1"/>
        </w:rPr>
        <w:t xml:space="preserve">2.419” to 2.429” </w:t>
      </w:r>
    </w:p>
    <w:p w:rsidR="002D6DFD" w:rsidRPr="00B141DA" w:rsidRDefault="002D6DFD" w:rsidP="002D6DFD">
      <w:pPr>
        <w:pStyle w:val="NoSpacing"/>
        <w:rPr>
          <w:color w:val="000000" w:themeColor="text1"/>
        </w:rPr>
      </w:pPr>
      <w:r w:rsidRPr="00B141DA">
        <w:rPr>
          <w:color w:val="000000" w:themeColor="text1"/>
        </w:rPr>
        <w:t xml:space="preserve">The oil hole in the rod cannot </w:t>
      </w:r>
      <w:proofErr w:type="gramStart"/>
      <w:r w:rsidRPr="00B141DA">
        <w:rPr>
          <w:color w:val="000000" w:themeColor="text1"/>
        </w:rPr>
        <w:t>exceed  0.185</w:t>
      </w:r>
      <w:proofErr w:type="gramEnd"/>
      <w:r w:rsidRPr="00B141DA">
        <w:rPr>
          <w:color w:val="000000" w:themeColor="text1"/>
        </w:rPr>
        <w:t>”</w:t>
      </w:r>
    </w:p>
    <w:p w:rsidR="002D6DFD" w:rsidRDefault="002D6DFD" w:rsidP="002D6DFD">
      <w:pPr>
        <w:pStyle w:val="NoSpacing"/>
        <w:rPr>
          <w:b/>
          <w:sz w:val="32"/>
          <w:szCs w:val="32"/>
        </w:rPr>
      </w:pPr>
      <w:r w:rsidRPr="00363A9D">
        <w:rPr>
          <w:b/>
          <w:sz w:val="32"/>
          <w:szCs w:val="32"/>
        </w:rPr>
        <w:t xml:space="preserve">Lifters </w:t>
      </w:r>
    </w:p>
    <w:p w:rsidR="002D6DFD" w:rsidRDefault="002D6DFD" w:rsidP="002D6DFD">
      <w:pPr>
        <w:pStyle w:val="NoSpacing"/>
      </w:pPr>
      <w:proofErr w:type="gramStart"/>
      <w:r>
        <w:t>M</w:t>
      </w:r>
      <w:r w:rsidRPr="005936B0">
        <w:t>ust be OEM Briggs part number 690977</w:t>
      </w:r>
      <w:r>
        <w:t>.</w:t>
      </w:r>
      <w:proofErr w:type="gramEnd"/>
      <w:r>
        <w:t xml:space="preserve"> No aftermarket lifters allowed.</w:t>
      </w:r>
    </w:p>
    <w:p w:rsidR="002D6DFD" w:rsidRPr="00B141DA" w:rsidRDefault="002D6DFD" w:rsidP="002D6DFD">
      <w:pPr>
        <w:pStyle w:val="NoSpacing"/>
        <w:rPr>
          <w:color w:val="000000" w:themeColor="text1"/>
        </w:rPr>
      </w:pPr>
      <w:r>
        <w:t xml:space="preserve">The head diameter </w:t>
      </w:r>
      <w:r w:rsidRPr="00B141DA">
        <w:rPr>
          <w:color w:val="000000" w:themeColor="text1"/>
        </w:rPr>
        <w:t xml:space="preserve">must be </w:t>
      </w:r>
      <w:proofErr w:type="gramStart"/>
      <w:r w:rsidRPr="00B141DA">
        <w:rPr>
          <w:color w:val="000000" w:themeColor="text1"/>
        </w:rPr>
        <w:t>between  .</w:t>
      </w:r>
      <w:proofErr w:type="gramEnd"/>
      <w:r w:rsidRPr="00B141DA">
        <w:rPr>
          <w:color w:val="000000" w:themeColor="text1"/>
        </w:rPr>
        <w:t>820” and .860”</w:t>
      </w:r>
    </w:p>
    <w:p w:rsidR="002D6DFD" w:rsidRPr="00B141DA" w:rsidRDefault="002D6DFD" w:rsidP="002D6DFD">
      <w:pPr>
        <w:pStyle w:val="NoSpacing"/>
        <w:rPr>
          <w:color w:val="000000" w:themeColor="text1"/>
        </w:rPr>
      </w:pPr>
      <w:r w:rsidRPr="00B141DA">
        <w:rPr>
          <w:color w:val="000000" w:themeColor="text1"/>
        </w:rPr>
        <w:t>The length must be 1.515” and 1.525”</w:t>
      </w:r>
    </w:p>
    <w:p w:rsidR="00363A9D" w:rsidRDefault="005116A7" w:rsidP="00363A9D">
      <w:pPr>
        <w:pStyle w:val="NoSpacing"/>
      </w:pPr>
      <w:r w:rsidRPr="00363A9D">
        <w:rPr>
          <w:b/>
          <w:sz w:val="32"/>
          <w:szCs w:val="32"/>
        </w:rPr>
        <w:t>Cylinder Stroke</w:t>
      </w:r>
      <w:r>
        <w:t xml:space="preserve"> </w:t>
      </w:r>
      <w:r w:rsidRPr="005116A7">
        <w:t>may not exceed 2.204”</w:t>
      </w:r>
    </w:p>
    <w:p w:rsidR="00363A9D" w:rsidRPr="00363A9D" w:rsidRDefault="009504FB" w:rsidP="00363A9D">
      <w:pPr>
        <w:pStyle w:val="NoSpacing"/>
        <w:rPr>
          <w:b/>
          <w:sz w:val="32"/>
          <w:szCs w:val="32"/>
        </w:rPr>
      </w:pPr>
      <w:r w:rsidRPr="00363A9D">
        <w:rPr>
          <w:b/>
          <w:sz w:val="32"/>
          <w:szCs w:val="32"/>
        </w:rPr>
        <w:t>Piston</w:t>
      </w:r>
    </w:p>
    <w:p w:rsidR="00395319" w:rsidRPr="00363A9D" w:rsidRDefault="007C6213" w:rsidP="00363A9D">
      <w:pPr>
        <w:pStyle w:val="NoSpacing"/>
      </w:pPr>
      <w:r>
        <w:t>The specified</w:t>
      </w:r>
      <w:r w:rsidR="00395319">
        <w:t xml:space="preserve"> </w:t>
      </w:r>
      <w:proofErr w:type="gramStart"/>
      <w:r w:rsidR="00395319">
        <w:t>Domed</w:t>
      </w:r>
      <w:proofErr w:type="gramEnd"/>
      <w:r w:rsidR="00395319">
        <w:t xml:space="preserve"> pistons are the only pistons allowed. </w:t>
      </w:r>
    </w:p>
    <w:p w:rsidR="00F864ED" w:rsidRDefault="00F864ED" w:rsidP="00363A9D">
      <w:pPr>
        <w:pStyle w:val="NoSpacing"/>
      </w:pPr>
      <w:r>
        <w:t>The piston si</w:t>
      </w:r>
      <w:r w:rsidR="003D3E09">
        <w:t>zes allowed are Standard,</w:t>
      </w:r>
      <w:r w:rsidR="00B74ADE">
        <w:t xml:space="preserve"> .005”, </w:t>
      </w:r>
      <w:r>
        <w:t xml:space="preserve">.010” </w:t>
      </w:r>
      <w:r w:rsidR="00B74ADE">
        <w:t>and .020”</w:t>
      </w:r>
      <w:r w:rsidRPr="00F864ED">
        <w:rPr>
          <w:color w:val="000000" w:themeColor="text1"/>
        </w:rPr>
        <w:t>oversize.</w:t>
      </w:r>
    </w:p>
    <w:p w:rsidR="0092008E" w:rsidRDefault="001134BE" w:rsidP="00216114">
      <w:pPr>
        <w:pStyle w:val="NoSpacing"/>
      </w:pPr>
      <w:r>
        <w:t>The pistons are available from Faster Motors</w:t>
      </w:r>
    </w:p>
    <w:p w:rsidR="001134BE" w:rsidRDefault="001134BE" w:rsidP="00216114">
      <w:pPr>
        <w:pStyle w:val="NoSpacing"/>
        <w:rPr>
          <w:b/>
          <w:sz w:val="32"/>
          <w:szCs w:val="32"/>
        </w:rPr>
      </w:pPr>
    </w:p>
    <w:p w:rsidR="00216114" w:rsidRDefault="00216114" w:rsidP="00216114">
      <w:pPr>
        <w:pStyle w:val="NoSpacing"/>
      </w:pPr>
      <w:r w:rsidRPr="00216114">
        <w:rPr>
          <w:b/>
          <w:sz w:val="32"/>
          <w:szCs w:val="32"/>
        </w:rPr>
        <w:t>Piston Rings</w:t>
      </w:r>
      <w:r>
        <w:t xml:space="preserve"> You must use all three rings. They must be OEM Briggs part number 555664</w:t>
      </w:r>
      <w:r w:rsidRPr="00216114">
        <w:t xml:space="preserve"> </w:t>
      </w:r>
      <w:r>
        <w:t>(</w:t>
      </w:r>
      <w:proofErr w:type="gramStart"/>
      <w:r>
        <w:t>std</w:t>
      </w:r>
      <w:proofErr w:type="gramEnd"/>
      <w:r>
        <w:t>) or 555665 (.010” oversize)</w:t>
      </w:r>
      <w:r w:rsidR="00487CF6">
        <w:t xml:space="preserve"> or 555666 (.020” oversize)</w:t>
      </w:r>
    </w:p>
    <w:p w:rsidR="00216114" w:rsidRDefault="00216114" w:rsidP="00216114">
      <w:pPr>
        <w:pStyle w:val="NoSpacing"/>
      </w:pPr>
      <w:r>
        <w:t>No modifications to the rings allowed except filing for end gap. Recommended end gap by Briggs for the top ring is .004”</w:t>
      </w:r>
    </w:p>
    <w:p w:rsidR="00FF7FD7" w:rsidRPr="00363A9D" w:rsidRDefault="00FF7FD7" w:rsidP="00363A9D">
      <w:pPr>
        <w:pStyle w:val="NoSpacing"/>
      </w:pPr>
      <w:r w:rsidRPr="00363A9D">
        <w:t xml:space="preserve">All the rings must be intact when the piston is removed from the </w:t>
      </w:r>
      <w:r w:rsidR="00B36AC2" w:rsidRPr="00363A9D">
        <w:t>engine. An engine with a broken ring will be disqualified.</w:t>
      </w:r>
    </w:p>
    <w:p w:rsidR="00B36AC2" w:rsidRPr="00363A9D" w:rsidRDefault="00216114" w:rsidP="00363A9D">
      <w:pPr>
        <w:pStyle w:val="NoSpacing"/>
      </w:pPr>
      <w:r w:rsidRPr="00363A9D">
        <w:t>The rings cannot be heat treated or shrun</w:t>
      </w:r>
      <w:r w:rsidR="00487CF6">
        <w:t xml:space="preserve">k in any way. </w:t>
      </w:r>
      <w:r w:rsidRPr="00363A9D">
        <w:t xml:space="preserve">     </w:t>
      </w:r>
      <w:r w:rsidRPr="00D92A9C">
        <w:rPr>
          <w:color w:val="C00000"/>
        </w:rPr>
        <w:t xml:space="preserve"> </w:t>
      </w:r>
    </w:p>
    <w:p w:rsidR="00FF7FD7" w:rsidRPr="00363A9D" w:rsidRDefault="00216114" w:rsidP="00363A9D">
      <w:pPr>
        <w:pStyle w:val="NoSpacing"/>
      </w:pPr>
      <w:r w:rsidRPr="00363A9D">
        <w:t>When rings are removed from the piston they must be self supporting in the cylinder.</w:t>
      </w:r>
      <w:r w:rsidR="00FF7FD7" w:rsidRPr="00363A9D">
        <w:t xml:space="preserve"> </w:t>
      </w:r>
    </w:p>
    <w:p w:rsidR="00FF7FD7" w:rsidRPr="00363A9D" w:rsidRDefault="00FF7FD7" w:rsidP="00363A9D">
      <w:pPr>
        <w:pStyle w:val="NoSpacing"/>
      </w:pPr>
      <w:r w:rsidRPr="00363A9D">
        <w:t>The dot on the top two rings must be facing up.</w:t>
      </w:r>
    </w:p>
    <w:p w:rsidR="00FF7FD7" w:rsidRPr="00363A9D" w:rsidRDefault="00FF7FD7" w:rsidP="00363A9D">
      <w:pPr>
        <w:pStyle w:val="NoSpacing"/>
      </w:pPr>
      <w:r w:rsidRPr="00363A9D">
        <w:t xml:space="preserve">The chamfer on the </w:t>
      </w:r>
      <w:r w:rsidR="00B36AC2" w:rsidRPr="00363A9D">
        <w:t>ID of the second ring</w:t>
      </w:r>
      <w:r w:rsidRPr="00363A9D">
        <w:t xml:space="preserve"> must be</w:t>
      </w:r>
      <w:r w:rsidR="00B36AC2" w:rsidRPr="00363A9D">
        <w:t xml:space="preserve"> facing down.</w:t>
      </w:r>
    </w:p>
    <w:p w:rsidR="00216114" w:rsidRPr="00363A9D" w:rsidRDefault="00FF7FD7" w:rsidP="00363A9D">
      <w:pPr>
        <w:pStyle w:val="NoSpacing"/>
      </w:pPr>
      <w:r w:rsidRPr="00363A9D">
        <w:t>Minimum wid</w:t>
      </w:r>
      <w:r w:rsidR="00B36AC2" w:rsidRPr="00363A9D">
        <w:t>th of the top two rings is 0.096</w:t>
      </w:r>
      <w:r w:rsidRPr="00363A9D">
        <w:t xml:space="preserve">” </w:t>
      </w:r>
    </w:p>
    <w:p w:rsidR="00FF7FD7" w:rsidRPr="00363A9D" w:rsidRDefault="00FF7FD7" w:rsidP="00363A9D">
      <w:pPr>
        <w:pStyle w:val="NoSpacing"/>
      </w:pPr>
      <w:r w:rsidRPr="00363A9D">
        <w:t>The thickness of the top</w:t>
      </w:r>
      <w:r w:rsidR="00B36AC2" w:rsidRPr="00363A9D">
        <w:t xml:space="preserve"> two rings must be between 0.060</w:t>
      </w:r>
      <w:r w:rsidRPr="00363A9D">
        <w:t>” to 0.062”</w:t>
      </w:r>
    </w:p>
    <w:p w:rsidR="00D92A9C" w:rsidRDefault="00216114" w:rsidP="00363A9D">
      <w:pPr>
        <w:pStyle w:val="NoSpacing"/>
      </w:pPr>
      <w:r w:rsidRPr="00363A9D">
        <w:t xml:space="preserve">The oil ring expander </w:t>
      </w:r>
      <w:r w:rsidR="00FF7FD7" w:rsidRPr="00363A9D">
        <w:t xml:space="preserve">cannot be shortened. </w:t>
      </w:r>
    </w:p>
    <w:p w:rsidR="00FF7FD7" w:rsidRPr="00363A9D" w:rsidRDefault="00FF7FD7" w:rsidP="00363A9D">
      <w:pPr>
        <w:pStyle w:val="NoSpacing"/>
      </w:pPr>
      <w:r w:rsidRPr="00363A9D">
        <w:t xml:space="preserve">The length of the oil ring expander for the </w:t>
      </w:r>
      <w:proofErr w:type="gramStart"/>
      <w:r w:rsidRPr="00363A9D">
        <w:t>std</w:t>
      </w:r>
      <w:proofErr w:type="gramEnd"/>
      <w:r w:rsidRPr="00363A9D">
        <w:t xml:space="preserve"> pi</w:t>
      </w:r>
      <w:r w:rsidR="00D92A9C">
        <w:t>ston must not be less than 8.200</w:t>
      </w:r>
      <w:r w:rsidRPr="00363A9D">
        <w:t>”</w:t>
      </w:r>
    </w:p>
    <w:p w:rsidR="00FF7FD7" w:rsidRPr="00363A9D" w:rsidRDefault="00FF7FD7" w:rsidP="00363A9D">
      <w:pPr>
        <w:pStyle w:val="NoSpacing"/>
      </w:pPr>
      <w:r w:rsidRPr="00363A9D">
        <w:t xml:space="preserve">The oil ring expander for the .010” oversize piston may not be less </w:t>
      </w:r>
      <w:proofErr w:type="gramStart"/>
      <w:r w:rsidRPr="00363A9D">
        <w:t xml:space="preserve">than </w:t>
      </w:r>
      <w:r w:rsidR="00FF34F2" w:rsidRPr="00363A9D">
        <w:t xml:space="preserve"> </w:t>
      </w:r>
      <w:r w:rsidR="00D92A9C">
        <w:t>8.250</w:t>
      </w:r>
      <w:proofErr w:type="gramEnd"/>
      <w:r w:rsidR="00D92A9C">
        <w:t>”</w:t>
      </w:r>
    </w:p>
    <w:p w:rsidR="0027088A" w:rsidRPr="007F56CB" w:rsidRDefault="00F864ED" w:rsidP="00363A9D">
      <w:pPr>
        <w:pStyle w:val="NoSpacing"/>
        <w:rPr>
          <w:b/>
          <w:sz w:val="32"/>
          <w:szCs w:val="32"/>
        </w:rPr>
      </w:pPr>
      <w:r w:rsidRPr="007F56CB">
        <w:rPr>
          <w:b/>
          <w:sz w:val="32"/>
          <w:szCs w:val="32"/>
        </w:rPr>
        <w:t>Piston Pin</w:t>
      </w:r>
      <w:r w:rsidR="007F56CB">
        <w:t xml:space="preserve"> must be</w:t>
      </w:r>
      <w:r w:rsidRPr="00363A9D">
        <w:t xml:space="preserve"> OEM wrist pin part number </w:t>
      </w:r>
      <w:r w:rsidR="0027088A" w:rsidRPr="00363A9D">
        <w:t xml:space="preserve">499423. The dimensions for the wrist pin must be as follows:  </w:t>
      </w:r>
    </w:p>
    <w:p w:rsidR="0027088A" w:rsidRPr="00363A9D" w:rsidRDefault="0027088A" w:rsidP="00363A9D">
      <w:pPr>
        <w:pStyle w:val="NoSpacing"/>
      </w:pPr>
      <w:r w:rsidRPr="00363A9D">
        <w:t xml:space="preserve">Outside diameter must be </w:t>
      </w:r>
      <w:proofErr w:type="gramStart"/>
      <w:r w:rsidRPr="00363A9D">
        <w:t>between  .</w:t>
      </w:r>
      <w:proofErr w:type="gramEnd"/>
      <w:r w:rsidRPr="00363A9D">
        <w:t xml:space="preserve">624” and .626” </w:t>
      </w:r>
    </w:p>
    <w:p w:rsidR="00F864ED" w:rsidRPr="00363A9D" w:rsidRDefault="0027088A" w:rsidP="00363A9D">
      <w:pPr>
        <w:pStyle w:val="NoSpacing"/>
      </w:pPr>
      <w:r w:rsidRPr="00363A9D">
        <w:t>Inside diameter at the outer ends must</w:t>
      </w:r>
      <w:r w:rsidR="005116A7" w:rsidRPr="00363A9D">
        <w:t xml:space="preserve"> not be larger than .414”</w:t>
      </w:r>
    </w:p>
    <w:p w:rsidR="0027088A" w:rsidRPr="00363A9D" w:rsidRDefault="0027088A" w:rsidP="00363A9D">
      <w:pPr>
        <w:pStyle w:val="NoSpacing"/>
      </w:pPr>
      <w:r w:rsidRPr="008A381F">
        <w:rPr>
          <w:color w:val="C00000"/>
        </w:rPr>
        <w:t>The length must not exceed 1.762</w:t>
      </w:r>
      <w:r w:rsidRPr="00363A9D">
        <w:t>”</w:t>
      </w:r>
      <w:r w:rsidR="00941C7D">
        <w:t xml:space="preserve"> It must</w:t>
      </w:r>
      <w:r w:rsidR="008A381F">
        <w:t xml:space="preserve"> not be shorter than </w:t>
      </w:r>
      <w:r w:rsidR="00941C7D">
        <w:t>1.903”</w:t>
      </w:r>
    </w:p>
    <w:p w:rsidR="0027088A" w:rsidRPr="00363A9D" w:rsidRDefault="0027088A" w:rsidP="00363A9D">
      <w:pPr>
        <w:pStyle w:val="NoSpacing"/>
      </w:pPr>
      <w:r w:rsidRPr="00363A9D">
        <w:t xml:space="preserve">The distance from the top of the piston to the top of the wrist pin must be </w:t>
      </w:r>
      <w:proofErr w:type="gramStart"/>
      <w:r w:rsidRPr="00363A9D">
        <w:t>between  ??????</w:t>
      </w:r>
      <w:proofErr w:type="gramEnd"/>
      <w:r w:rsidRPr="00363A9D">
        <w:t xml:space="preserve">  </w:t>
      </w:r>
      <w:proofErr w:type="gramStart"/>
      <w:r w:rsidRPr="00363A9D">
        <w:t>and  ??????</w:t>
      </w:r>
      <w:proofErr w:type="gramEnd"/>
    </w:p>
    <w:p w:rsidR="00A81E0D" w:rsidRPr="0092008E" w:rsidRDefault="00A81E0D" w:rsidP="00363A9D">
      <w:pPr>
        <w:pStyle w:val="NoSpacing"/>
        <w:rPr>
          <w:color w:val="FF0000"/>
        </w:rPr>
      </w:pPr>
    </w:p>
    <w:p w:rsidR="007D5533" w:rsidRPr="003F7670" w:rsidRDefault="007D5533" w:rsidP="00363A9D">
      <w:pPr>
        <w:pStyle w:val="NoSpacing"/>
      </w:pPr>
      <w:r w:rsidRPr="003F7670">
        <w:t xml:space="preserve">The PTO bearing inside diameter must not be larger than </w:t>
      </w:r>
      <w:r w:rsidR="003F7670" w:rsidRPr="003F7670">
        <w:t>1.064”</w:t>
      </w:r>
      <w:r w:rsidRPr="003F7670">
        <w:t xml:space="preserve"> </w:t>
      </w:r>
    </w:p>
    <w:p w:rsidR="007D5533" w:rsidRPr="003F7670" w:rsidRDefault="007D5533" w:rsidP="00363A9D">
      <w:pPr>
        <w:pStyle w:val="NoSpacing"/>
      </w:pPr>
      <w:r w:rsidRPr="003F7670">
        <w:t>The PTO crankshaft bearing must be a press fit into the side cover.</w:t>
      </w:r>
    </w:p>
    <w:p w:rsidR="003A34B2" w:rsidRDefault="003A34B2" w:rsidP="00363A9D">
      <w:pPr>
        <w:pStyle w:val="NoSpacing"/>
        <w:rPr>
          <w:szCs w:val="32"/>
        </w:rPr>
      </w:pPr>
    </w:p>
    <w:p w:rsidR="00991212" w:rsidRDefault="002D6DFD" w:rsidP="00363A9D">
      <w:pPr>
        <w:pStyle w:val="NoSpacing"/>
      </w:pPr>
      <w:r w:rsidRPr="002D6DFD">
        <w:rPr>
          <w:b/>
          <w:sz w:val="32"/>
          <w:szCs w:val="32"/>
        </w:rPr>
        <w:t>Carbu</w:t>
      </w:r>
      <w:r>
        <w:rPr>
          <w:b/>
          <w:sz w:val="32"/>
          <w:szCs w:val="32"/>
        </w:rPr>
        <w:t>r</w:t>
      </w:r>
      <w:r w:rsidRPr="002D6DFD">
        <w:rPr>
          <w:b/>
          <w:sz w:val="32"/>
          <w:szCs w:val="32"/>
        </w:rPr>
        <w:t>etor</w:t>
      </w:r>
      <w:r w:rsidR="00C6594A">
        <w:rPr>
          <w:b/>
          <w:sz w:val="32"/>
          <w:szCs w:val="32"/>
        </w:rPr>
        <w:t xml:space="preserve"> Methanol</w:t>
      </w:r>
      <w:r w:rsidRPr="002D6DFD">
        <w:rPr>
          <w:b/>
          <w:sz w:val="32"/>
          <w:szCs w:val="32"/>
        </w:rPr>
        <w:t xml:space="preserve"> </w:t>
      </w:r>
      <w:r w:rsidRPr="002D6DFD">
        <w:t>The PZ</w:t>
      </w:r>
      <w:r>
        <w:t xml:space="preserve"> carburetor is the only legal </w:t>
      </w:r>
      <w:proofErr w:type="spellStart"/>
      <w:r>
        <w:t>carb</w:t>
      </w:r>
      <w:proofErr w:type="spellEnd"/>
      <w:r>
        <w:t xml:space="preserve">. All LO 206 rules apply except for the main </w:t>
      </w:r>
      <w:proofErr w:type="gramStart"/>
      <w:r>
        <w:t xml:space="preserve">jet </w:t>
      </w:r>
      <w:r w:rsidR="00776614">
        <w:t>,</w:t>
      </w:r>
      <w:proofErr w:type="gramEnd"/>
      <w:r w:rsidR="00776614">
        <w:t xml:space="preserve"> t</w:t>
      </w:r>
      <w:r w:rsidR="00991212">
        <w:t>he idle jet and the main nozzle.</w:t>
      </w:r>
    </w:p>
    <w:p w:rsidR="00776614" w:rsidRPr="00776614" w:rsidRDefault="00776614" w:rsidP="00776614">
      <w:pPr>
        <w:shd w:val="clear" w:color="auto" w:fill="FFFFFF"/>
        <w:spacing w:after="0" w:line="240" w:lineRule="auto"/>
        <w:rPr>
          <w:rFonts w:ascii="Arial" w:eastAsia="Times New Roman" w:hAnsi="Arial" w:cs="Arial"/>
          <w:color w:val="222222"/>
          <w:sz w:val="24"/>
          <w:szCs w:val="24"/>
        </w:rPr>
      </w:pPr>
      <w:r w:rsidRPr="00776614">
        <w:rPr>
          <w:rFonts w:ascii="Arial" w:eastAsia="Times New Roman" w:hAnsi="Arial" w:cs="Arial"/>
          <w:color w:val="0000FF"/>
          <w:sz w:val="24"/>
          <w:szCs w:val="24"/>
        </w:rPr>
        <w:t>Main N</w:t>
      </w:r>
      <w:r>
        <w:rPr>
          <w:rFonts w:ascii="Calibri" w:eastAsia="Times New Roman" w:hAnsi="Calibri" w:cs="Arial"/>
          <w:color w:val="0000FF"/>
        </w:rPr>
        <w:t>ozzle size</w:t>
      </w:r>
      <w:proofErr w:type="gramStart"/>
      <w:r>
        <w:rPr>
          <w:rFonts w:ascii="Calibri" w:eastAsia="Times New Roman" w:hAnsi="Calibri" w:cs="Arial"/>
          <w:color w:val="0000FF"/>
        </w:rPr>
        <w:t>:.</w:t>
      </w:r>
      <w:proofErr w:type="gramEnd"/>
      <w:r>
        <w:rPr>
          <w:rFonts w:ascii="Calibri" w:eastAsia="Times New Roman" w:hAnsi="Calibri" w:cs="Arial"/>
          <w:color w:val="0000FF"/>
        </w:rPr>
        <w:t xml:space="preserve">  .</w:t>
      </w:r>
      <w:r w:rsidRPr="00776614">
        <w:rPr>
          <w:rFonts w:ascii="Calibri" w:eastAsia="Times New Roman" w:hAnsi="Calibri" w:cs="Arial"/>
          <w:color w:val="0000FF"/>
        </w:rPr>
        <w:t>104” gauge must go but a .107" gauge must not go.</w:t>
      </w:r>
    </w:p>
    <w:p w:rsidR="00776614" w:rsidRPr="00776614" w:rsidRDefault="00776614" w:rsidP="00776614">
      <w:pPr>
        <w:shd w:val="clear" w:color="auto" w:fill="FFFFFF"/>
        <w:spacing w:after="0" w:line="240" w:lineRule="auto"/>
        <w:rPr>
          <w:rFonts w:ascii="Arial" w:eastAsia="Times New Roman" w:hAnsi="Arial" w:cs="Arial"/>
          <w:color w:val="222222"/>
          <w:sz w:val="24"/>
          <w:szCs w:val="24"/>
        </w:rPr>
      </w:pPr>
      <w:r>
        <w:rPr>
          <w:rFonts w:ascii="Calibri" w:eastAsia="Times New Roman" w:hAnsi="Calibri" w:cs="Arial"/>
          <w:color w:val="0000FF"/>
        </w:rPr>
        <w:t xml:space="preserve">Main jet size:  </w:t>
      </w:r>
      <w:r w:rsidRPr="00776614">
        <w:rPr>
          <w:rFonts w:ascii="Calibri" w:eastAsia="Times New Roman" w:hAnsi="Calibri" w:cs="Arial"/>
          <w:color w:val="0000FF"/>
        </w:rPr>
        <w:t xml:space="preserve"> .054” gauge must go but a .057” gauge must not go.</w:t>
      </w:r>
      <w:r w:rsidRPr="00776614">
        <w:rPr>
          <w:rFonts w:ascii="Arial" w:eastAsia="Times New Roman" w:hAnsi="Arial" w:cs="Arial"/>
          <w:color w:val="0000FF"/>
          <w:sz w:val="24"/>
          <w:szCs w:val="24"/>
        </w:rPr>
        <w:t> </w:t>
      </w:r>
    </w:p>
    <w:p w:rsidR="00D92A9C" w:rsidRPr="00776614" w:rsidRDefault="00776614" w:rsidP="00776614">
      <w:pPr>
        <w:shd w:val="clear" w:color="auto" w:fill="FFFFFF"/>
        <w:spacing w:after="0" w:line="240" w:lineRule="auto"/>
        <w:rPr>
          <w:rFonts w:ascii="Arial" w:eastAsia="Times New Roman" w:hAnsi="Arial" w:cs="Arial"/>
          <w:color w:val="222222"/>
          <w:sz w:val="24"/>
          <w:szCs w:val="24"/>
        </w:rPr>
      </w:pPr>
      <w:r w:rsidRPr="00776614">
        <w:rPr>
          <w:rFonts w:ascii="Arial" w:eastAsia="Times New Roman" w:hAnsi="Arial" w:cs="Arial"/>
          <w:color w:val="0000FF"/>
          <w:sz w:val="24"/>
          <w:szCs w:val="24"/>
        </w:rPr>
        <w:t>Idle Jet size: </w:t>
      </w:r>
      <w:r w:rsidR="00292D0B">
        <w:rPr>
          <w:rFonts w:ascii="Calibri" w:eastAsia="Times New Roman" w:hAnsi="Calibri" w:cs="Arial"/>
          <w:color w:val="0000FF"/>
        </w:rPr>
        <w:t>  .014” gauge must go but a .017</w:t>
      </w:r>
      <w:r w:rsidRPr="00776614">
        <w:rPr>
          <w:rFonts w:ascii="Calibri" w:eastAsia="Times New Roman" w:hAnsi="Calibri" w:cs="Arial"/>
          <w:color w:val="0000FF"/>
        </w:rPr>
        <w:t>’ gauge must not go.</w:t>
      </w:r>
    </w:p>
    <w:p w:rsidR="004704D2" w:rsidRDefault="00991212" w:rsidP="00363A9D">
      <w:pPr>
        <w:pStyle w:val="NoSpacing"/>
        <w:rPr>
          <w:color w:val="000000" w:themeColor="text1"/>
        </w:rPr>
      </w:pPr>
      <w:r>
        <w:rPr>
          <w:color w:val="000000" w:themeColor="text1"/>
        </w:rPr>
        <w:t>You may use the appropriate parts</w:t>
      </w:r>
      <w:r w:rsidR="004704D2">
        <w:rPr>
          <w:color w:val="000000" w:themeColor="text1"/>
        </w:rPr>
        <w:t xml:space="preserve"> from the Briggs methanol jet kit 555537</w:t>
      </w:r>
      <w:r>
        <w:rPr>
          <w:color w:val="000000" w:themeColor="text1"/>
        </w:rPr>
        <w:t xml:space="preserve">. </w:t>
      </w:r>
    </w:p>
    <w:p w:rsidR="00991212" w:rsidRDefault="00991212" w:rsidP="00363A9D">
      <w:pPr>
        <w:pStyle w:val="NoSpacing"/>
        <w:rPr>
          <w:color w:val="000000" w:themeColor="text1"/>
        </w:rPr>
      </w:pPr>
      <w:r>
        <w:rPr>
          <w:color w:val="000000" w:themeColor="text1"/>
        </w:rPr>
        <w:t>You can make your own jets but they must conform to the rules!</w:t>
      </w:r>
    </w:p>
    <w:p w:rsidR="0092008E" w:rsidRDefault="0092008E" w:rsidP="00363A9D">
      <w:pPr>
        <w:pStyle w:val="NoSpacing"/>
        <w:rPr>
          <w:color w:val="FF0000"/>
        </w:rPr>
      </w:pPr>
      <w:r w:rsidRPr="0092008E">
        <w:rPr>
          <w:color w:val="FF0000"/>
        </w:rPr>
        <w:t xml:space="preserve">The .602” </w:t>
      </w:r>
      <w:proofErr w:type="spellStart"/>
      <w:r w:rsidRPr="0092008E">
        <w:rPr>
          <w:color w:val="FF0000"/>
        </w:rPr>
        <w:t>carb</w:t>
      </w:r>
      <w:proofErr w:type="spellEnd"/>
      <w:r w:rsidRPr="0092008E">
        <w:rPr>
          <w:color w:val="FF0000"/>
        </w:rPr>
        <w:t xml:space="preserve"> measurement is of particular importance and will be checked frequently!!</w:t>
      </w:r>
    </w:p>
    <w:p w:rsidR="004704D2" w:rsidRDefault="004704D2" w:rsidP="00363A9D">
      <w:pPr>
        <w:pStyle w:val="NoSpacing"/>
      </w:pPr>
      <w:r w:rsidRPr="004704D2">
        <w:t xml:space="preserve">All other </w:t>
      </w:r>
      <w:proofErr w:type="spellStart"/>
      <w:r w:rsidRPr="004704D2">
        <w:t>carb</w:t>
      </w:r>
      <w:proofErr w:type="spellEnd"/>
      <w:r w:rsidRPr="004704D2">
        <w:t xml:space="preserve"> rules are the same as the current LO 206 rules</w:t>
      </w:r>
      <w:r>
        <w:t>.</w:t>
      </w:r>
    </w:p>
    <w:p w:rsidR="004E64CB" w:rsidRDefault="004E64CB" w:rsidP="004E64CB">
      <w:pPr>
        <w:pStyle w:val="NoSpacing"/>
      </w:pPr>
      <w:r>
        <w:t xml:space="preserve">You must use pure methanol for fuel.  It will be tested according to existing kart racing standards and procedures.  NO additives will be allowed.  </w:t>
      </w:r>
    </w:p>
    <w:p w:rsidR="004E64CB" w:rsidRPr="004704D2" w:rsidRDefault="004E64CB" w:rsidP="00363A9D">
      <w:pPr>
        <w:pStyle w:val="NoSpacing"/>
      </w:pPr>
    </w:p>
    <w:p w:rsidR="00A95A09" w:rsidRPr="00C6594A" w:rsidRDefault="00A95A09" w:rsidP="00363A9D">
      <w:pPr>
        <w:pStyle w:val="NoSpacing"/>
        <w:rPr>
          <w:color w:val="000000" w:themeColor="text1"/>
          <w:sz w:val="32"/>
          <w:szCs w:val="32"/>
        </w:rPr>
      </w:pPr>
    </w:p>
    <w:p w:rsidR="00C6594A" w:rsidRDefault="00C6594A" w:rsidP="00363A9D">
      <w:pPr>
        <w:pStyle w:val="NoSpacing"/>
        <w:rPr>
          <w:color w:val="000000" w:themeColor="text1"/>
        </w:rPr>
      </w:pPr>
      <w:r w:rsidRPr="00C6594A">
        <w:rPr>
          <w:b/>
          <w:color w:val="000000" w:themeColor="text1"/>
          <w:sz w:val="32"/>
          <w:szCs w:val="32"/>
        </w:rPr>
        <w:lastRenderedPageBreak/>
        <w:t>Carburetor Gasoline</w:t>
      </w:r>
      <w:r>
        <w:rPr>
          <w:b/>
          <w:color w:val="000000" w:themeColor="text1"/>
          <w:sz w:val="32"/>
          <w:szCs w:val="32"/>
        </w:rPr>
        <w:t xml:space="preserve"> </w:t>
      </w:r>
      <w:r w:rsidRPr="00C6594A">
        <w:rPr>
          <w:color w:val="000000" w:themeColor="text1"/>
        </w:rPr>
        <w:t>Must follow the existing LO 206 rules</w:t>
      </w:r>
      <w:r>
        <w:rPr>
          <w:color w:val="000000" w:themeColor="text1"/>
        </w:rPr>
        <w:t>.</w:t>
      </w:r>
    </w:p>
    <w:p w:rsidR="00C6594A" w:rsidRDefault="00C6594A" w:rsidP="00363A9D">
      <w:pPr>
        <w:pStyle w:val="NoSpacing"/>
        <w:rPr>
          <w:color w:val="000000" w:themeColor="text1"/>
        </w:rPr>
      </w:pPr>
      <w:r>
        <w:rPr>
          <w:color w:val="000000" w:themeColor="text1"/>
        </w:rPr>
        <w:t>Suggested fuel is 93 octane pump gas. Hint if the fuel is red or blue or any other color than normal pump gas it is probably higher octane and oxygen enriched fuel and is illegal.</w:t>
      </w:r>
    </w:p>
    <w:p w:rsidR="0060151C" w:rsidRDefault="0060151C" w:rsidP="00363A9D">
      <w:pPr>
        <w:pStyle w:val="NoSpacing"/>
        <w:rPr>
          <w:color w:val="000000" w:themeColor="text1"/>
        </w:rPr>
      </w:pPr>
    </w:p>
    <w:p w:rsidR="0060151C" w:rsidRDefault="0060151C" w:rsidP="00363A9D">
      <w:pPr>
        <w:pStyle w:val="NoSpacing"/>
        <w:rPr>
          <w:color w:val="000000" w:themeColor="text1"/>
        </w:rPr>
      </w:pPr>
      <w:r w:rsidRPr="0060151C">
        <w:rPr>
          <w:b/>
          <w:color w:val="000000" w:themeColor="text1"/>
          <w:sz w:val="32"/>
          <w:szCs w:val="32"/>
        </w:rPr>
        <w:t xml:space="preserve">Ignition Coil </w:t>
      </w:r>
      <w:r>
        <w:rPr>
          <w:color w:val="000000" w:themeColor="text1"/>
        </w:rPr>
        <w:t>Must be the Briggs Blue colored PVL ignition coil Pate Number 555681.</w:t>
      </w:r>
    </w:p>
    <w:p w:rsidR="00011A9B" w:rsidRPr="00011A9B" w:rsidRDefault="00011A9B" w:rsidP="00363A9D">
      <w:pPr>
        <w:pStyle w:val="NoSpacing"/>
        <w:rPr>
          <w:b/>
          <w:color w:val="000000" w:themeColor="text1"/>
          <w:sz w:val="28"/>
          <w:szCs w:val="28"/>
        </w:rPr>
      </w:pPr>
    </w:p>
    <w:p w:rsidR="00011A9B" w:rsidRDefault="00011A9B" w:rsidP="00363A9D">
      <w:pPr>
        <w:pStyle w:val="NoSpacing"/>
        <w:rPr>
          <w:color w:val="000000" w:themeColor="text1"/>
        </w:rPr>
      </w:pPr>
      <w:r w:rsidRPr="00011A9B">
        <w:rPr>
          <w:b/>
          <w:color w:val="000000" w:themeColor="text1"/>
          <w:sz w:val="28"/>
          <w:szCs w:val="28"/>
        </w:rPr>
        <w:t>Flywheel</w:t>
      </w:r>
      <w:r>
        <w:rPr>
          <w:color w:val="000000" w:themeColor="text1"/>
        </w:rPr>
        <w:t xml:space="preserve"> You must use the Briggs PVL flywheel Part Number 555683 and plastic flywheel fan part number 692592</w:t>
      </w:r>
    </w:p>
    <w:p w:rsidR="0060151C" w:rsidRDefault="0060151C" w:rsidP="00363A9D">
      <w:pPr>
        <w:pStyle w:val="NoSpacing"/>
        <w:rPr>
          <w:color w:val="000000" w:themeColor="text1"/>
        </w:rPr>
      </w:pPr>
    </w:p>
    <w:p w:rsidR="0060151C" w:rsidRPr="0060151C" w:rsidRDefault="0060151C" w:rsidP="00363A9D">
      <w:pPr>
        <w:pStyle w:val="NoSpacing"/>
        <w:rPr>
          <w:color w:val="000000" w:themeColor="text1"/>
        </w:rPr>
      </w:pPr>
      <w:r>
        <w:rPr>
          <w:b/>
          <w:color w:val="000000" w:themeColor="text1"/>
          <w:sz w:val="32"/>
          <w:szCs w:val="32"/>
        </w:rPr>
        <w:t xml:space="preserve">Spark Plug </w:t>
      </w:r>
      <w:r>
        <w:rPr>
          <w:color w:val="000000" w:themeColor="text1"/>
        </w:rPr>
        <w:t xml:space="preserve">Must be Champion </w:t>
      </w:r>
      <w:r>
        <w:t>RC9YC</w:t>
      </w:r>
      <w:r w:rsidR="00011A9B">
        <w:t xml:space="preserve"> with the OEM sealing washer /</w:t>
      </w:r>
      <w:r>
        <w:t xml:space="preserve"> gasket installed.</w:t>
      </w:r>
    </w:p>
    <w:p w:rsidR="00991212" w:rsidRDefault="00991212" w:rsidP="00363A9D">
      <w:pPr>
        <w:pStyle w:val="NoSpacing"/>
        <w:rPr>
          <w:b/>
          <w:color w:val="000000" w:themeColor="text1"/>
          <w:sz w:val="32"/>
          <w:szCs w:val="32"/>
        </w:rPr>
      </w:pPr>
    </w:p>
    <w:p w:rsidR="00A95A09" w:rsidRDefault="00A95A09" w:rsidP="00363A9D">
      <w:pPr>
        <w:pStyle w:val="NoSpacing"/>
      </w:pPr>
      <w:r w:rsidRPr="00A95A09">
        <w:rPr>
          <w:b/>
          <w:color w:val="000000" w:themeColor="text1"/>
          <w:sz w:val="32"/>
          <w:szCs w:val="32"/>
        </w:rPr>
        <w:t>Air Filter</w:t>
      </w:r>
      <w:r w:rsidRPr="00A95A09">
        <w:rPr>
          <w:color w:val="000000" w:themeColor="text1"/>
          <w:sz w:val="32"/>
          <w:szCs w:val="32"/>
        </w:rPr>
        <w:t xml:space="preserve"> </w:t>
      </w:r>
      <w:r w:rsidRPr="00A95A09">
        <w:rPr>
          <w:color w:val="000000" w:themeColor="text1"/>
        </w:rPr>
        <w:t xml:space="preserve">The </w:t>
      </w:r>
      <w:r w:rsidR="00970C8E">
        <w:rPr>
          <w:color w:val="000000" w:themeColor="text1"/>
        </w:rPr>
        <w:t xml:space="preserve">unaltered </w:t>
      </w:r>
      <w:r>
        <w:rPr>
          <w:color w:val="000000" w:themeColor="text1"/>
        </w:rPr>
        <w:t xml:space="preserve">LO 206 air filter is </w:t>
      </w:r>
      <w:r w:rsidRPr="00A95A09">
        <w:rPr>
          <w:color w:val="000000" w:themeColor="text1"/>
        </w:rPr>
        <w:t>legal</w:t>
      </w:r>
      <w:r w:rsidR="00B74ADE">
        <w:rPr>
          <w:color w:val="000000" w:themeColor="text1"/>
        </w:rPr>
        <w:t xml:space="preserve"> as well as a less </w:t>
      </w:r>
      <w:r>
        <w:rPr>
          <w:color w:val="000000" w:themeColor="text1"/>
        </w:rPr>
        <w:t xml:space="preserve">expensive </w:t>
      </w:r>
      <w:r w:rsidR="00970C8E">
        <w:rPr>
          <w:color w:val="000000" w:themeColor="text1"/>
        </w:rPr>
        <w:t xml:space="preserve">unaltered </w:t>
      </w:r>
      <w:r>
        <w:rPr>
          <w:color w:val="000000" w:themeColor="text1"/>
        </w:rPr>
        <w:t>aftermarket</w:t>
      </w:r>
      <w:r w:rsidR="00970C8E">
        <w:rPr>
          <w:color w:val="000000" w:themeColor="text1"/>
        </w:rPr>
        <w:t xml:space="preserve"> </w:t>
      </w:r>
      <w:proofErr w:type="gramStart"/>
      <w:r w:rsidR="00970C8E">
        <w:rPr>
          <w:color w:val="000000" w:themeColor="text1"/>
        </w:rPr>
        <w:t>air  filter</w:t>
      </w:r>
      <w:proofErr w:type="gramEnd"/>
      <w:r w:rsidR="00970C8E">
        <w:rPr>
          <w:color w:val="000000" w:themeColor="text1"/>
        </w:rPr>
        <w:t xml:space="preserve"> </w:t>
      </w:r>
      <w:r w:rsidR="00970C8E">
        <w:rPr>
          <w:b/>
          <w:color w:val="000000" w:themeColor="text1"/>
        </w:rPr>
        <w:t xml:space="preserve"> </w:t>
      </w:r>
      <w:r w:rsidR="00970C8E" w:rsidRPr="00970C8E">
        <w:rPr>
          <w:color w:val="000000" w:themeColor="text1"/>
        </w:rPr>
        <w:t xml:space="preserve">with the following dimensions </w:t>
      </w:r>
      <w:r w:rsidR="00970C8E" w:rsidRPr="00970C8E">
        <w:rPr>
          <w:rFonts w:ascii="Verdana" w:hAnsi="Verdana"/>
          <w:color w:val="000000"/>
          <w:sz w:val="15"/>
          <w:szCs w:val="15"/>
          <w:shd w:val="clear" w:color="auto" w:fill="F8F8F9"/>
        </w:rPr>
        <w:t> </w:t>
      </w:r>
      <w:hyperlink r:id="rId4" w:history="1">
        <w:r w:rsidR="00970C8E" w:rsidRPr="00970C8E">
          <w:rPr>
            <w:rStyle w:val="Hyperlink"/>
            <w:rFonts w:ascii="Verdana" w:hAnsi="Verdana"/>
            <w:color w:val="auto"/>
            <w:sz w:val="15"/>
            <w:szCs w:val="15"/>
            <w:shd w:val="clear" w:color="auto" w:fill="F8F8F9"/>
          </w:rPr>
          <w:t xml:space="preserve"> 3" x 4" (1.25" I.D.)</w:t>
        </w:r>
      </w:hyperlink>
      <w:r w:rsidR="00970C8E">
        <w:t xml:space="preserve">  A ny</w:t>
      </w:r>
      <w:r w:rsidR="00991212">
        <w:t xml:space="preserve">lon or foam pre-filter is legal and encouraged. </w:t>
      </w:r>
      <w:r w:rsidR="00970C8E">
        <w:t xml:space="preserve"> O</w:t>
      </w:r>
      <w:r w:rsidR="00991212">
        <w:t>iling the filter is also legal and also encouraged.</w:t>
      </w:r>
    </w:p>
    <w:p w:rsidR="00964507" w:rsidRDefault="00B74ADE" w:rsidP="00964507">
      <w:pPr>
        <w:pStyle w:val="NoSpacing"/>
      </w:pPr>
      <w:r>
        <w:t xml:space="preserve">The use of filters of any kind that have the </w:t>
      </w:r>
      <w:r w:rsidR="00964507">
        <w:t>inte</w:t>
      </w:r>
      <w:r w:rsidR="00991212">
        <w:t xml:space="preserve">rnal portion machined, ground, </w:t>
      </w:r>
      <w:proofErr w:type="spellStart"/>
      <w:r w:rsidR="00964507">
        <w:t>radiused</w:t>
      </w:r>
      <w:proofErr w:type="spellEnd"/>
      <w:r w:rsidR="00964507">
        <w:t xml:space="preserve"> or chamfered is illegal. Anything that resembles modification internally will be illegal.</w:t>
      </w:r>
    </w:p>
    <w:p w:rsidR="00964507" w:rsidRDefault="00964507" w:rsidP="00964507">
      <w:pPr>
        <w:pStyle w:val="NoSpacing"/>
      </w:pPr>
      <w:r>
        <w:t>Below is an example of an inexpensive legal air filter.</w:t>
      </w:r>
    </w:p>
    <w:p w:rsidR="00B74ADE" w:rsidRDefault="00B74ADE" w:rsidP="00363A9D">
      <w:pPr>
        <w:pStyle w:val="NoSpacing"/>
      </w:pPr>
    </w:p>
    <w:p w:rsidR="00970C8E" w:rsidRPr="00A95A09" w:rsidRDefault="00970C8E" w:rsidP="00363A9D">
      <w:pPr>
        <w:pStyle w:val="NoSpacing"/>
        <w:rPr>
          <w:color w:val="000000" w:themeColor="text1"/>
        </w:rPr>
      </w:pPr>
      <w:r w:rsidRPr="00970C8E">
        <w:rPr>
          <w:noProof/>
        </w:rPr>
        <w:drawing>
          <wp:inline distT="0" distB="0" distL="0" distR="0">
            <wp:extent cx="1666875" cy="1162050"/>
            <wp:effectExtent l="19050" t="0" r="9525" b="0"/>
            <wp:docPr id="5" name="Picture 1" descr="https://www.smkart.com/dealers/images/dli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kart.com/dealers/images/dliaf.jpg"/>
                    <pic:cNvPicPr>
                      <a:picLocks noChangeAspect="1" noChangeArrowheads="1"/>
                    </pic:cNvPicPr>
                  </pic:nvPicPr>
                  <pic:blipFill>
                    <a:blip r:embed="rId5" cstate="print"/>
                    <a:srcRect/>
                    <a:stretch>
                      <a:fillRect/>
                    </a:stretch>
                  </pic:blipFill>
                  <pic:spPr bwMode="auto">
                    <a:xfrm>
                      <a:off x="0" y="0"/>
                      <a:ext cx="1666875" cy="1162050"/>
                    </a:xfrm>
                    <a:prstGeom prst="rect">
                      <a:avLst/>
                    </a:prstGeom>
                    <a:noFill/>
                    <a:ln w="9525">
                      <a:noFill/>
                      <a:miter lim="800000"/>
                      <a:headEnd/>
                      <a:tailEnd/>
                    </a:ln>
                  </pic:spPr>
                </pic:pic>
              </a:graphicData>
            </a:graphic>
          </wp:inline>
        </w:drawing>
      </w:r>
    </w:p>
    <w:p w:rsidR="00AB7E2D" w:rsidRDefault="00AB7E2D" w:rsidP="00363A9D">
      <w:pPr>
        <w:pStyle w:val="NoSpacing"/>
        <w:rPr>
          <w:color w:val="FF0000"/>
        </w:rPr>
      </w:pPr>
    </w:p>
    <w:p w:rsidR="00AB7E2D" w:rsidRDefault="00AB7E2D" w:rsidP="00AB7E2D">
      <w:pPr>
        <w:pStyle w:val="NoSpacing"/>
        <w:rPr>
          <w:color w:val="000000" w:themeColor="text1"/>
        </w:rPr>
      </w:pPr>
      <w:r w:rsidRPr="00AB7E2D">
        <w:rPr>
          <w:b/>
          <w:color w:val="000000" w:themeColor="text1"/>
          <w:sz w:val="32"/>
          <w:szCs w:val="32"/>
        </w:rPr>
        <w:t>Cylinder Head</w:t>
      </w:r>
      <w:r>
        <w:rPr>
          <w:b/>
          <w:color w:val="000000" w:themeColor="text1"/>
          <w:sz w:val="32"/>
          <w:szCs w:val="32"/>
        </w:rPr>
        <w:t xml:space="preserve"> </w:t>
      </w:r>
      <w:r w:rsidR="009A2B75" w:rsidRPr="009A2B75">
        <w:rPr>
          <w:color w:val="000000" w:themeColor="text1"/>
        </w:rPr>
        <w:t>The RT 1 cylinder head is the only legal head.</w:t>
      </w:r>
      <w:r w:rsidR="009A2B75">
        <w:rPr>
          <w:color w:val="000000" w:themeColor="text1"/>
        </w:rPr>
        <w:t xml:space="preserve"> </w:t>
      </w:r>
      <w:r w:rsidRPr="00AB7E2D">
        <w:rPr>
          <w:color w:val="000000" w:themeColor="text1"/>
        </w:rPr>
        <w:t xml:space="preserve">The use of the Briggs heat disperser is allowed Part number </w:t>
      </w:r>
      <w:r>
        <w:rPr>
          <w:color w:val="000000" w:themeColor="text1"/>
        </w:rPr>
        <w:t>555690</w:t>
      </w:r>
      <w:r w:rsidR="009A2B75">
        <w:rPr>
          <w:color w:val="000000" w:themeColor="text1"/>
        </w:rPr>
        <w:t xml:space="preserve">. It may be added to older production </w:t>
      </w:r>
      <w:r w:rsidR="00964507">
        <w:rPr>
          <w:color w:val="000000" w:themeColor="text1"/>
        </w:rPr>
        <w:t xml:space="preserve">RT 1 </w:t>
      </w:r>
      <w:r w:rsidR="009A2B75">
        <w:rPr>
          <w:color w:val="000000" w:themeColor="text1"/>
        </w:rPr>
        <w:t>heads.</w:t>
      </w:r>
    </w:p>
    <w:p w:rsidR="0092008E" w:rsidRDefault="0092008E" w:rsidP="00AB7E2D">
      <w:pPr>
        <w:pStyle w:val="NoSpacing"/>
        <w:rPr>
          <w:color w:val="000000" w:themeColor="text1"/>
        </w:rPr>
      </w:pPr>
      <w:r>
        <w:rPr>
          <w:color w:val="000000" w:themeColor="text1"/>
        </w:rPr>
        <w:t>The heat disperser is not required but is definitely encouraged!!</w:t>
      </w:r>
    </w:p>
    <w:p w:rsidR="00D92A9C" w:rsidRPr="00B141DA" w:rsidRDefault="00D92A9C" w:rsidP="00D92A9C">
      <w:pPr>
        <w:pStyle w:val="NoSpacing"/>
        <w:rPr>
          <w:color w:val="000000" w:themeColor="text1"/>
        </w:rPr>
      </w:pPr>
      <w:r>
        <w:rPr>
          <w:color w:val="000000" w:themeColor="text1"/>
        </w:rPr>
        <w:t>See LO 206 rules for additional specifications.</w:t>
      </w:r>
    </w:p>
    <w:p w:rsidR="00D74839" w:rsidRDefault="00D74839" w:rsidP="00363A9D">
      <w:pPr>
        <w:pStyle w:val="NoSpacing"/>
        <w:rPr>
          <w:b/>
          <w:szCs w:val="32"/>
        </w:rPr>
      </w:pPr>
    </w:p>
    <w:p w:rsidR="003A34B2" w:rsidRDefault="00D92A9C" w:rsidP="00363A9D">
      <w:pPr>
        <w:pStyle w:val="NoSpacing"/>
        <w:rPr>
          <w:b/>
          <w:szCs w:val="32"/>
        </w:rPr>
      </w:pPr>
      <w:r>
        <w:rPr>
          <w:b/>
          <w:szCs w:val="32"/>
        </w:rPr>
        <w:t xml:space="preserve">Briggs &amp; Stratton </w:t>
      </w:r>
      <w:r w:rsidR="003A34B2" w:rsidRPr="003A34B2">
        <w:rPr>
          <w:b/>
          <w:szCs w:val="32"/>
        </w:rPr>
        <w:t>4T Racing oil is highly recommended</w:t>
      </w:r>
    </w:p>
    <w:p w:rsidR="00D74839" w:rsidRDefault="00D74839" w:rsidP="00363A9D">
      <w:pPr>
        <w:pStyle w:val="NoSpacing"/>
        <w:rPr>
          <w:b/>
          <w:szCs w:val="32"/>
        </w:rPr>
      </w:pPr>
    </w:p>
    <w:p w:rsidR="003A34B2" w:rsidRDefault="003A34B2" w:rsidP="00363A9D">
      <w:pPr>
        <w:pStyle w:val="NoSpacing"/>
      </w:pPr>
      <w:r w:rsidRPr="003A34B2">
        <w:rPr>
          <w:b/>
          <w:sz w:val="32"/>
          <w:szCs w:val="32"/>
        </w:rPr>
        <w:t>Fuel</w:t>
      </w:r>
      <w:r>
        <w:rPr>
          <w:b/>
          <w:sz w:val="32"/>
          <w:szCs w:val="32"/>
        </w:rPr>
        <w:t xml:space="preserve"> </w:t>
      </w:r>
      <w:r w:rsidR="00F50589">
        <w:rPr>
          <w:b/>
          <w:sz w:val="32"/>
          <w:szCs w:val="32"/>
        </w:rPr>
        <w:t xml:space="preserve">  </w:t>
      </w:r>
      <w:r w:rsidRPr="003A34B2">
        <w:t xml:space="preserve">Methanol </w:t>
      </w:r>
      <w:r>
        <w:t>is the only fuel allowed. It must be pure methanol with</w:t>
      </w:r>
      <w:r w:rsidRPr="003A34B2">
        <w:rPr>
          <w:b/>
        </w:rPr>
        <w:t xml:space="preserve"> NO</w:t>
      </w:r>
      <w:r>
        <w:t xml:space="preserve"> additives.</w:t>
      </w:r>
      <w:r w:rsidR="0026581E">
        <w:t xml:space="preserve"> No top engine lube will be allowed.</w:t>
      </w:r>
    </w:p>
    <w:p w:rsidR="003A34B2" w:rsidRDefault="00032D29" w:rsidP="00363A9D">
      <w:pPr>
        <w:pStyle w:val="NoSpacing"/>
      </w:pPr>
      <w:r>
        <w:t xml:space="preserve">To be legal fuel must pass a hydrometer test and or </w:t>
      </w:r>
      <w:proofErr w:type="spellStart"/>
      <w:r>
        <w:t>Digitron</w:t>
      </w:r>
      <w:proofErr w:type="spellEnd"/>
      <w:r>
        <w:t xml:space="preserve"> test</w:t>
      </w:r>
      <w:r w:rsidR="00D74839">
        <w:t>.</w:t>
      </w:r>
    </w:p>
    <w:p w:rsidR="00D74839" w:rsidRDefault="00D74839" w:rsidP="00363A9D">
      <w:pPr>
        <w:pStyle w:val="NoSpacing"/>
      </w:pPr>
    </w:p>
    <w:p w:rsidR="00D74839" w:rsidRDefault="00D74839" w:rsidP="00D74839">
      <w:pPr>
        <w:pStyle w:val="NoSpacing"/>
        <w:rPr>
          <w:b/>
          <w:color w:val="FF0000"/>
          <w:szCs w:val="32"/>
        </w:rPr>
      </w:pPr>
      <w:r w:rsidRPr="007C6213">
        <w:rPr>
          <w:b/>
          <w:color w:val="FF0000"/>
          <w:szCs w:val="32"/>
        </w:rPr>
        <w:t>Other engine parts such as the exhaust pipe and muffler will follow the existing LO 206 rules!</w:t>
      </w:r>
      <w:r>
        <w:rPr>
          <w:b/>
          <w:color w:val="FF0000"/>
          <w:szCs w:val="32"/>
        </w:rPr>
        <w:t xml:space="preserve"> </w:t>
      </w:r>
    </w:p>
    <w:p w:rsidR="00D74839" w:rsidRDefault="00D74839" w:rsidP="00D74839">
      <w:pPr>
        <w:pStyle w:val="NoSpacing"/>
        <w:rPr>
          <w:b/>
          <w:color w:val="FF0000"/>
          <w:szCs w:val="32"/>
        </w:rPr>
      </w:pPr>
      <w:r>
        <w:rPr>
          <w:b/>
          <w:color w:val="FF0000"/>
          <w:szCs w:val="32"/>
        </w:rPr>
        <w:t>Other examples are the ignition timing, flywheel weight and fuel pump etc will follow the existing LO 206 rules!</w:t>
      </w:r>
    </w:p>
    <w:p w:rsidR="001134BE" w:rsidRDefault="001134BE" w:rsidP="00D74839">
      <w:pPr>
        <w:pStyle w:val="NoSpacing"/>
        <w:rPr>
          <w:b/>
          <w:color w:val="FF0000"/>
          <w:szCs w:val="32"/>
        </w:rPr>
      </w:pPr>
    </w:p>
    <w:p w:rsidR="001134BE" w:rsidRDefault="001134BE" w:rsidP="00D74839">
      <w:pPr>
        <w:pStyle w:val="NoSpacing"/>
        <w:rPr>
          <w:b/>
          <w:color w:val="FF0000"/>
          <w:szCs w:val="32"/>
        </w:rPr>
      </w:pPr>
      <w:r>
        <w:rPr>
          <w:b/>
          <w:color w:val="FF0000"/>
          <w:szCs w:val="32"/>
        </w:rPr>
        <w:t>Any pa</w:t>
      </w:r>
      <w:r w:rsidR="00A718E5">
        <w:rPr>
          <w:b/>
          <w:color w:val="FF0000"/>
          <w:szCs w:val="32"/>
        </w:rPr>
        <w:t>rt numbers given herein that is</w:t>
      </w:r>
      <w:r>
        <w:rPr>
          <w:b/>
          <w:color w:val="FF0000"/>
          <w:szCs w:val="32"/>
        </w:rPr>
        <w:t xml:space="preserve"> superseded by Briggs &amp; Stratton in the future will be acceptable</w:t>
      </w:r>
      <w:r w:rsidR="00A718E5">
        <w:rPr>
          <w:b/>
          <w:color w:val="FF0000"/>
          <w:szCs w:val="32"/>
        </w:rPr>
        <w:t>.</w:t>
      </w:r>
    </w:p>
    <w:p w:rsidR="00A718E5" w:rsidRPr="00A718E5" w:rsidRDefault="00A718E5" w:rsidP="00D74839">
      <w:pPr>
        <w:pStyle w:val="NoSpacing"/>
        <w:rPr>
          <w:b/>
          <w:szCs w:val="32"/>
        </w:rPr>
      </w:pPr>
    </w:p>
    <w:p w:rsidR="00A718E5" w:rsidRPr="00A718E5" w:rsidRDefault="00C74F72" w:rsidP="00D74839">
      <w:pPr>
        <w:pStyle w:val="NoSpacing"/>
        <w:rPr>
          <w:b/>
          <w:szCs w:val="32"/>
        </w:rPr>
      </w:pPr>
      <w:r>
        <w:rPr>
          <w:b/>
          <w:szCs w:val="32"/>
        </w:rPr>
        <w:t>11/17</w:t>
      </w:r>
      <w:r w:rsidR="00A718E5" w:rsidRPr="00A718E5">
        <w:rPr>
          <w:b/>
          <w:szCs w:val="32"/>
        </w:rPr>
        <w:t>/19</w:t>
      </w:r>
    </w:p>
    <w:p w:rsidR="00D74839" w:rsidRPr="003A34B2" w:rsidRDefault="00D74839" w:rsidP="00363A9D">
      <w:pPr>
        <w:pStyle w:val="NoSpacing"/>
        <w:rPr>
          <w:b/>
          <w:sz w:val="32"/>
          <w:szCs w:val="32"/>
        </w:rPr>
      </w:pPr>
    </w:p>
    <w:sectPr w:rsidR="00D74839" w:rsidRPr="003A34B2" w:rsidSect="00991212">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6B1"/>
    <w:rsid w:val="00011A9B"/>
    <w:rsid w:val="000158D3"/>
    <w:rsid w:val="00032D29"/>
    <w:rsid w:val="00037790"/>
    <w:rsid w:val="0008224B"/>
    <w:rsid w:val="000D13D6"/>
    <w:rsid w:val="001003D4"/>
    <w:rsid w:val="001134BE"/>
    <w:rsid w:val="001218BF"/>
    <w:rsid w:val="001A2997"/>
    <w:rsid w:val="001E538A"/>
    <w:rsid w:val="001F0448"/>
    <w:rsid w:val="00216114"/>
    <w:rsid w:val="002304D1"/>
    <w:rsid w:val="00237EC1"/>
    <w:rsid w:val="00242DEE"/>
    <w:rsid w:val="0026581E"/>
    <w:rsid w:val="0027088A"/>
    <w:rsid w:val="0028173F"/>
    <w:rsid w:val="00292D0B"/>
    <w:rsid w:val="002A10FA"/>
    <w:rsid w:val="002B7BF3"/>
    <w:rsid w:val="002D5234"/>
    <w:rsid w:val="002D6DFD"/>
    <w:rsid w:val="00343FCB"/>
    <w:rsid w:val="00350B8D"/>
    <w:rsid w:val="00363A9D"/>
    <w:rsid w:val="00395319"/>
    <w:rsid w:val="003A34B2"/>
    <w:rsid w:val="003B3040"/>
    <w:rsid w:val="003D3E09"/>
    <w:rsid w:val="003F7670"/>
    <w:rsid w:val="00424AB4"/>
    <w:rsid w:val="004318D2"/>
    <w:rsid w:val="00452E02"/>
    <w:rsid w:val="00462CA6"/>
    <w:rsid w:val="00466138"/>
    <w:rsid w:val="0047024B"/>
    <w:rsid w:val="004704D2"/>
    <w:rsid w:val="00487CF6"/>
    <w:rsid w:val="004E64CB"/>
    <w:rsid w:val="005116A7"/>
    <w:rsid w:val="00554069"/>
    <w:rsid w:val="005936B0"/>
    <w:rsid w:val="005D7952"/>
    <w:rsid w:val="005F143B"/>
    <w:rsid w:val="0060151C"/>
    <w:rsid w:val="00610FD7"/>
    <w:rsid w:val="00622614"/>
    <w:rsid w:val="0075360B"/>
    <w:rsid w:val="00757FBB"/>
    <w:rsid w:val="00776614"/>
    <w:rsid w:val="007975DC"/>
    <w:rsid w:val="007C6213"/>
    <w:rsid w:val="007D5533"/>
    <w:rsid w:val="007E0F7F"/>
    <w:rsid w:val="007F56CB"/>
    <w:rsid w:val="008000C1"/>
    <w:rsid w:val="0081106F"/>
    <w:rsid w:val="00827038"/>
    <w:rsid w:val="00841236"/>
    <w:rsid w:val="008A381F"/>
    <w:rsid w:val="008C757C"/>
    <w:rsid w:val="008E0968"/>
    <w:rsid w:val="0092008E"/>
    <w:rsid w:val="00941C7D"/>
    <w:rsid w:val="009504FB"/>
    <w:rsid w:val="00964507"/>
    <w:rsid w:val="00970C8E"/>
    <w:rsid w:val="00991212"/>
    <w:rsid w:val="009A2B75"/>
    <w:rsid w:val="00A718E5"/>
    <w:rsid w:val="00A81E0D"/>
    <w:rsid w:val="00A95A09"/>
    <w:rsid w:val="00AB7E2D"/>
    <w:rsid w:val="00B141DA"/>
    <w:rsid w:val="00B36AC2"/>
    <w:rsid w:val="00B532ED"/>
    <w:rsid w:val="00B66854"/>
    <w:rsid w:val="00B724A8"/>
    <w:rsid w:val="00B74ADE"/>
    <w:rsid w:val="00B77DFE"/>
    <w:rsid w:val="00BE02AE"/>
    <w:rsid w:val="00C465BE"/>
    <w:rsid w:val="00C6594A"/>
    <w:rsid w:val="00C74F72"/>
    <w:rsid w:val="00D06458"/>
    <w:rsid w:val="00D37815"/>
    <w:rsid w:val="00D4017B"/>
    <w:rsid w:val="00D52166"/>
    <w:rsid w:val="00D5250C"/>
    <w:rsid w:val="00D74839"/>
    <w:rsid w:val="00D92A9C"/>
    <w:rsid w:val="00DD1A6E"/>
    <w:rsid w:val="00E446B1"/>
    <w:rsid w:val="00E46EE5"/>
    <w:rsid w:val="00E56EF2"/>
    <w:rsid w:val="00E841A6"/>
    <w:rsid w:val="00E84DF5"/>
    <w:rsid w:val="00EA5088"/>
    <w:rsid w:val="00EA6CCC"/>
    <w:rsid w:val="00EB2AA3"/>
    <w:rsid w:val="00F50589"/>
    <w:rsid w:val="00F864ED"/>
    <w:rsid w:val="00FA66A2"/>
    <w:rsid w:val="00FF34F2"/>
    <w:rsid w:val="00FF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FA"/>
  </w:style>
  <w:style w:type="paragraph" w:styleId="Heading2">
    <w:name w:val="heading 2"/>
    <w:basedOn w:val="Normal"/>
    <w:link w:val="Heading2Char"/>
    <w:uiPriority w:val="9"/>
    <w:qFormat/>
    <w:rsid w:val="00E5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FBB"/>
    <w:pPr>
      <w:spacing w:after="0" w:line="240" w:lineRule="auto"/>
    </w:pPr>
  </w:style>
  <w:style w:type="paragraph" w:styleId="BalloonText">
    <w:name w:val="Balloon Text"/>
    <w:basedOn w:val="Normal"/>
    <w:link w:val="BalloonTextChar"/>
    <w:uiPriority w:val="99"/>
    <w:semiHidden/>
    <w:unhideWhenUsed/>
    <w:rsid w:val="00A9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A09"/>
    <w:rPr>
      <w:rFonts w:ascii="Tahoma" w:hAnsi="Tahoma" w:cs="Tahoma"/>
      <w:sz w:val="16"/>
      <w:szCs w:val="16"/>
    </w:rPr>
  </w:style>
  <w:style w:type="character" w:styleId="Hyperlink">
    <w:name w:val="Hyperlink"/>
    <w:basedOn w:val="DefaultParagraphFont"/>
    <w:uiPriority w:val="99"/>
    <w:semiHidden/>
    <w:unhideWhenUsed/>
    <w:rsid w:val="00970C8E"/>
    <w:rPr>
      <w:color w:val="0000FF"/>
      <w:u w:val="single"/>
    </w:rPr>
  </w:style>
  <w:style w:type="character" w:customStyle="1" w:styleId="Heading2Char">
    <w:name w:val="Heading 2 Char"/>
    <w:basedOn w:val="DefaultParagraphFont"/>
    <w:link w:val="Heading2"/>
    <w:uiPriority w:val="9"/>
    <w:rsid w:val="00E56EF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63663501">
      <w:bodyDiv w:val="1"/>
      <w:marLeft w:val="0"/>
      <w:marRight w:val="0"/>
      <w:marTop w:val="0"/>
      <w:marBottom w:val="0"/>
      <w:divBdr>
        <w:top w:val="none" w:sz="0" w:space="0" w:color="auto"/>
        <w:left w:val="none" w:sz="0" w:space="0" w:color="auto"/>
        <w:bottom w:val="none" w:sz="0" w:space="0" w:color="auto"/>
        <w:right w:val="none" w:sz="0" w:space="0" w:color="auto"/>
      </w:divBdr>
    </w:div>
    <w:div w:id="1910967735">
      <w:bodyDiv w:val="1"/>
      <w:marLeft w:val="0"/>
      <w:marRight w:val="0"/>
      <w:marTop w:val="0"/>
      <w:marBottom w:val="0"/>
      <w:divBdr>
        <w:top w:val="none" w:sz="0" w:space="0" w:color="auto"/>
        <w:left w:val="none" w:sz="0" w:space="0" w:color="auto"/>
        <w:bottom w:val="none" w:sz="0" w:space="0" w:color="auto"/>
        <w:right w:val="none" w:sz="0" w:space="0" w:color="auto"/>
      </w:divBdr>
      <w:divsChild>
        <w:div w:id="1971740680">
          <w:marLeft w:val="0"/>
          <w:marRight w:val="0"/>
          <w:marTop w:val="0"/>
          <w:marBottom w:val="0"/>
          <w:divBdr>
            <w:top w:val="none" w:sz="0" w:space="0" w:color="auto"/>
            <w:left w:val="none" w:sz="0" w:space="0" w:color="auto"/>
            <w:bottom w:val="none" w:sz="0" w:space="0" w:color="auto"/>
            <w:right w:val="none" w:sz="0" w:space="0" w:color="auto"/>
          </w:divBdr>
        </w:div>
        <w:div w:id="639502069">
          <w:marLeft w:val="0"/>
          <w:marRight w:val="0"/>
          <w:marTop w:val="0"/>
          <w:marBottom w:val="0"/>
          <w:divBdr>
            <w:top w:val="none" w:sz="0" w:space="0" w:color="auto"/>
            <w:left w:val="none" w:sz="0" w:space="0" w:color="auto"/>
            <w:bottom w:val="none" w:sz="0" w:space="0" w:color="auto"/>
            <w:right w:val="none" w:sz="0" w:space="0" w:color="auto"/>
          </w:divBdr>
        </w:div>
        <w:div w:id="2688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mkart.com/dealers/product_info.php?cPath=788_690_63&amp;products_id=52&amp;osCsid=9dd8929bef2fbd185798e56f2e730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2019-11-17T16:05:00Z</dcterms:created>
  <dcterms:modified xsi:type="dcterms:W3CDTF">2019-11-17T16:05:00Z</dcterms:modified>
</cp:coreProperties>
</file>